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C35EB6" w:rsidRDefault="00C35EB6" w:rsidP="001619A7">
      <w:pPr>
        <w:pStyle w:val="SectionTitle"/>
        <w:rPr>
          <w:sz w:val="24"/>
          <w:szCs w:val="24"/>
        </w:rPr>
      </w:pPr>
      <w:r w:rsidRPr="00C35EB6">
        <w:rPr>
          <w:noProof/>
          <w:lang w:val="en-GB" w:eastAsia="en-GB" w:bidi="ar-SA"/>
        </w:rPr>
        <w:drawing>
          <wp:inline distT="0" distB="0" distL="0" distR="0" wp14:anchorId="7AD90DCE" wp14:editId="73F383A8">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4015B3" w:rsidRPr="00C35EB6" w:rsidRDefault="004015B3" w:rsidP="004015B3">
      <w:pPr>
        <w:pStyle w:val="SectionTitle"/>
        <w:rPr>
          <w:color w:val="365F91"/>
          <w:sz w:val="24"/>
          <w:szCs w:val="24"/>
        </w:rPr>
      </w:pPr>
      <w:r w:rsidRPr="00C35EB6">
        <w:rPr>
          <w:color w:val="365F91"/>
          <w:sz w:val="24"/>
          <w:szCs w:val="24"/>
        </w:rPr>
        <w:t>EUROPA CRIATIVA (2014-2020)</w:t>
      </w:r>
    </w:p>
    <w:p w:rsidR="004015B3" w:rsidRPr="00C35EB6" w:rsidRDefault="004015B3" w:rsidP="004015B3">
      <w:pPr>
        <w:pStyle w:val="SectionTitle"/>
        <w:rPr>
          <w:color w:val="365F91"/>
          <w:sz w:val="24"/>
          <w:szCs w:val="24"/>
        </w:rPr>
      </w:pPr>
      <w:r w:rsidRPr="00C35EB6">
        <w:rPr>
          <w:color w:val="365F91"/>
          <w:sz w:val="24"/>
          <w:szCs w:val="24"/>
        </w:rPr>
        <w:t>Subprograma MEDIA</w:t>
      </w:r>
    </w:p>
    <w:p w:rsidR="004015B3" w:rsidRPr="00C35EB6" w:rsidRDefault="004015B3" w:rsidP="004015B3">
      <w:pPr>
        <w:pStyle w:val="SectionTitle"/>
        <w:rPr>
          <w:sz w:val="24"/>
          <w:szCs w:val="24"/>
        </w:rPr>
      </w:pPr>
      <w:r w:rsidRPr="00C35EB6">
        <w:rPr>
          <w:sz w:val="24"/>
          <w:szCs w:val="24"/>
        </w:rPr>
        <w:t xml:space="preserve">Convite à apresentação de propostas – </w:t>
      </w:r>
      <w:r w:rsidRPr="00C35EB6">
        <w:rPr>
          <w:sz w:val="24"/>
        </w:rPr>
        <w:t>EACEA/33/2018</w:t>
      </w:r>
    </w:p>
    <w:p w:rsidR="004015B3" w:rsidRPr="00C35EB6" w:rsidRDefault="004015B3" w:rsidP="004015B3">
      <w:pPr>
        <w:jc w:val="center"/>
        <w:rPr>
          <w:rFonts w:eastAsia="Arial Unicode MS"/>
          <w:b/>
          <w:smallCaps/>
          <w:sz w:val="44"/>
        </w:rPr>
      </w:pPr>
      <w:r w:rsidRPr="00C35EB6">
        <w:rPr>
          <w:b/>
          <w:i/>
        </w:rPr>
        <w:t>Apoio à Educação cinematográfica</w:t>
      </w:r>
    </w:p>
    <w:p w:rsidR="004015B3" w:rsidRPr="00C35EB6" w:rsidRDefault="004015B3" w:rsidP="004015B3">
      <w:pPr>
        <w:suppressAutoHyphens/>
        <w:jc w:val="both"/>
        <w:rPr>
          <w:b/>
          <w:smallCaps/>
          <w:sz w:val="22"/>
          <w:szCs w:val="22"/>
        </w:rPr>
      </w:pPr>
    </w:p>
    <w:p w:rsidR="004015B3" w:rsidRPr="00C35EB6" w:rsidRDefault="004015B3" w:rsidP="004015B3">
      <w:pPr>
        <w:keepNext/>
        <w:numPr>
          <w:ilvl w:val="0"/>
          <w:numId w:val="1"/>
        </w:numPr>
        <w:spacing w:before="240" w:after="240"/>
        <w:outlineLvl w:val="0"/>
        <w:rPr>
          <w:b/>
          <w:smallCaps/>
          <w:sz w:val="22"/>
          <w:szCs w:val="22"/>
          <w:lang w:eastAsia="en-US" w:bidi="ar-SA"/>
        </w:rPr>
      </w:pPr>
      <w:r w:rsidRPr="00C35EB6">
        <w:rPr>
          <w:b/>
          <w:smallCaps/>
          <w:sz w:val="22"/>
          <w:szCs w:val="22"/>
          <w:lang w:eastAsia="en-US" w:bidi="ar-SA"/>
        </w:rPr>
        <w:t>Objetivos e Descrição</w:t>
      </w:r>
    </w:p>
    <w:p w:rsidR="004015B3" w:rsidRPr="00C35EB6" w:rsidRDefault="004015B3" w:rsidP="004015B3">
      <w:pPr>
        <w:spacing w:after="240"/>
        <w:jc w:val="both"/>
        <w:rPr>
          <w:rFonts w:eastAsia="Arial Unicode MS"/>
          <w:sz w:val="22"/>
          <w:szCs w:val="22"/>
          <w:lang w:eastAsia="en-US" w:bidi="ar-SA"/>
        </w:rPr>
      </w:pPr>
      <w:r w:rsidRPr="00C35EB6">
        <w:rPr>
          <w:sz w:val="22"/>
          <w:szCs w:val="22"/>
          <w:lang w:eastAsia="en-US" w:bidi="ar-SA"/>
        </w:rPr>
        <w:t>O presente anúncio de convite à apresentação de propostas tem por base o Regulamento (UE) n.º 1295/2013 do Parlamento Europeu e do Conselho, de 11 de dezembro de 2013, que diz respeito à execução de um programa de apoio ao setor cultural e criativo europeu (Programa Europa Criativa (2014-2020)</w:t>
      </w:r>
      <w:r w:rsidRPr="00C35EB6">
        <w:rPr>
          <w:sz w:val="22"/>
          <w:szCs w:val="22"/>
        </w:rPr>
        <w:t>)</w:t>
      </w:r>
      <w:r w:rsidRPr="00C35EB6">
        <w:rPr>
          <w:sz w:val="22"/>
          <w:szCs w:val="22"/>
          <w:vertAlign w:val="superscript"/>
        </w:rPr>
        <w:footnoteReference w:id="1"/>
      </w:r>
      <w:r w:rsidRPr="00C35EB6">
        <w:t xml:space="preserve"> </w:t>
      </w:r>
      <w:proofErr w:type="gramStart"/>
      <w:r w:rsidRPr="00C35EB6">
        <w:rPr>
          <w:sz w:val="22"/>
          <w:szCs w:val="22"/>
        </w:rPr>
        <w:t>e</w:t>
      </w:r>
      <w:proofErr w:type="gramEnd"/>
      <w:r w:rsidRPr="00C35EB6">
        <w:rPr>
          <w:sz w:val="22"/>
          <w:szCs w:val="22"/>
        </w:rPr>
        <w:t xml:space="preserve"> a respetiva retificação de 27/06/2014</w:t>
      </w:r>
      <w:r w:rsidRPr="00C35EB6">
        <w:rPr>
          <w:sz w:val="22"/>
          <w:szCs w:val="22"/>
          <w:vertAlign w:val="superscript"/>
        </w:rPr>
        <w:footnoteReference w:id="2"/>
      </w:r>
      <w:r w:rsidRPr="00C35EB6">
        <w:rPr>
          <w:sz w:val="22"/>
          <w:szCs w:val="22"/>
        </w:rPr>
        <w:t>.</w:t>
      </w:r>
    </w:p>
    <w:p w:rsidR="004015B3" w:rsidRPr="00C35EB6" w:rsidRDefault="004015B3" w:rsidP="004015B3">
      <w:pPr>
        <w:widowControl w:val="0"/>
        <w:autoSpaceDE w:val="0"/>
        <w:autoSpaceDN w:val="0"/>
        <w:adjustRightInd w:val="0"/>
        <w:spacing w:before="32" w:line="275" w:lineRule="auto"/>
        <w:ind w:right="51"/>
        <w:rPr>
          <w:sz w:val="22"/>
          <w:szCs w:val="22"/>
          <w:lang w:eastAsia="en-GB" w:bidi="ar-SA"/>
        </w:rPr>
      </w:pPr>
      <w:r w:rsidRPr="00C35EB6">
        <w:rPr>
          <w:sz w:val="22"/>
          <w:szCs w:val="22"/>
          <w:lang w:eastAsia="en-GB" w:bidi="ar-SA"/>
        </w:rPr>
        <w:t xml:space="preserve">No âmbito do objetivo específico de promover a circulação transnacional, uma das prioridades do subprograma MEDIA consiste </w:t>
      </w:r>
      <w:proofErr w:type="gramStart"/>
      <w:r w:rsidRPr="00C35EB6">
        <w:rPr>
          <w:sz w:val="22"/>
          <w:szCs w:val="22"/>
          <w:lang w:eastAsia="en-GB" w:bidi="ar-SA"/>
        </w:rPr>
        <w:t>em</w:t>
      </w:r>
      <w:proofErr w:type="gramEnd"/>
      <w:r w:rsidRPr="00C35EB6">
        <w:rPr>
          <w:sz w:val="22"/>
          <w:szCs w:val="22"/>
          <w:lang w:eastAsia="en-GB" w:bidi="ar-SA"/>
        </w:rPr>
        <w:t>:</w:t>
      </w:r>
    </w:p>
    <w:p w:rsidR="004015B3" w:rsidRPr="00C35EB6" w:rsidRDefault="004015B3" w:rsidP="004015B3">
      <w:pPr>
        <w:widowControl w:val="0"/>
        <w:autoSpaceDE w:val="0"/>
        <w:autoSpaceDN w:val="0"/>
        <w:adjustRightInd w:val="0"/>
        <w:spacing w:before="32" w:line="275" w:lineRule="auto"/>
        <w:ind w:right="51"/>
        <w:rPr>
          <w:sz w:val="22"/>
          <w:szCs w:val="22"/>
          <w:lang w:eastAsia="en-GB" w:bidi="ar-SA"/>
        </w:rPr>
      </w:pPr>
    </w:p>
    <w:p w:rsidR="004015B3" w:rsidRPr="00C35EB6" w:rsidRDefault="004015B3" w:rsidP="004015B3">
      <w:pPr>
        <w:widowControl w:val="0"/>
        <w:numPr>
          <w:ilvl w:val="0"/>
          <w:numId w:val="12"/>
        </w:numPr>
        <w:autoSpaceDE w:val="0"/>
        <w:autoSpaceDN w:val="0"/>
        <w:adjustRightInd w:val="0"/>
        <w:spacing w:after="200" w:line="276" w:lineRule="auto"/>
        <w:ind w:left="720" w:hanging="720"/>
        <w:rPr>
          <w:sz w:val="22"/>
          <w:szCs w:val="22"/>
          <w:lang w:eastAsia="en-GB" w:bidi="ar-SA"/>
        </w:rPr>
      </w:pPr>
      <w:proofErr w:type="gramStart"/>
      <w:r w:rsidRPr="00C35EB6">
        <w:rPr>
          <w:sz w:val="22"/>
          <w:szCs w:val="22"/>
          <w:lang w:eastAsia="en-GB" w:bidi="ar-SA"/>
        </w:rPr>
        <w:t>apoiar</w:t>
      </w:r>
      <w:proofErr w:type="gramEnd"/>
      <w:r w:rsidRPr="00C35EB6">
        <w:rPr>
          <w:sz w:val="22"/>
          <w:szCs w:val="22"/>
          <w:lang w:eastAsia="en-GB" w:bidi="ar-SA"/>
        </w:rPr>
        <w:t xml:space="preserve"> o alargamento das audiências como forma de estimular o seu interesse pelas obras audiovisuais europeias e de melhorar o acesso às mesmas, nomeadamente através de ações de promoção, organização de eventos, aprofundamento da cultura cinematográfica e </w:t>
      </w:r>
      <w:proofErr w:type="gramStart"/>
      <w:r w:rsidRPr="00C35EB6">
        <w:rPr>
          <w:sz w:val="22"/>
          <w:szCs w:val="22"/>
          <w:lang w:eastAsia="en-GB" w:bidi="ar-SA"/>
        </w:rPr>
        <w:t>organização</w:t>
      </w:r>
      <w:proofErr w:type="gramEnd"/>
      <w:r w:rsidRPr="00C35EB6">
        <w:rPr>
          <w:sz w:val="22"/>
          <w:szCs w:val="22"/>
          <w:lang w:eastAsia="en-GB" w:bidi="ar-SA"/>
        </w:rPr>
        <w:t xml:space="preserve"> de festivais; </w:t>
      </w:r>
    </w:p>
    <w:p w:rsidR="004015B3" w:rsidRPr="00C35EB6" w:rsidRDefault="004015B3" w:rsidP="004015B3">
      <w:pPr>
        <w:widowControl w:val="0"/>
        <w:tabs>
          <w:tab w:val="left" w:pos="1180"/>
        </w:tabs>
        <w:autoSpaceDE w:val="0"/>
        <w:autoSpaceDN w:val="0"/>
        <w:adjustRightInd w:val="0"/>
        <w:ind w:right="-20"/>
        <w:rPr>
          <w:sz w:val="22"/>
          <w:szCs w:val="22"/>
          <w:lang w:eastAsia="en-GB" w:bidi="ar-SA"/>
        </w:rPr>
      </w:pPr>
      <w:r w:rsidRPr="00C35EB6">
        <w:rPr>
          <w:sz w:val="22"/>
          <w:szCs w:val="22"/>
          <w:lang w:eastAsia="en-GB" w:bidi="ar-SA"/>
        </w:rPr>
        <w:t>O subprograma MEDIA apoia as seguintes medidas:</w:t>
      </w:r>
    </w:p>
    <w:p w:rsidR="004015B3" w:rsidRPr="00C35EB6" w:rsidRDefault="004015B3" w:rsidP="004015B3">
      <w:pPr>
        <w:jc w:val="both"/>
        <w:rPr>
          <w:bCs/>
          <w:sz w:val="22"/>
          <w:szCs w:val="22"/>
          <w:lang w:eastAsia="en-GB" w:bidi="ar-SA"/>
        </w:rPr>
      </w:pPr>
    </w:p>
    <w:p w:rsidR="004015B3" w:rsidRPr="00C35EB6" w:rsidRDefault="004015B3" w:rsidP="004015B3">
      <w:pPr>
        <w:numPr>
          <w:ilvl w:val="0"/>
          <w:numId w:val="11"/>
        </w:numPr>
        <w:spacing w:after="200" w:line="276" w:lineRule="auto"/>
        <w:ind w:hanging="720"/>
        <w:jc w:val="both"/>
        <w:rPr>
          <w:bCs/>
          <w:sz w:val="22"/>
          <w:szCs w:val="22"/>
          <w:lang w:eastAsia="en-GB" w:bidi="ar-SA"/>
        </w:rPr>
      </w:pPr>
      <w:proofErr w:type="gramStart"/>
      <w:r w:rsidRPr="00C35EB6">
        <w:rPr>
          <w:bCs/>
          <w:sz w:val="22"/>
          <w:szCs w:val="22"/>
          <w:lang w:eastAsia="en-GB" w:bidi="ar-SA"/>
        </w:rPr>
        <w:t>atividades</w:t>
      </w:r>
      <w:proofErr w:type="gramEnd"/>
      <w:r w:rsidRPr="00C35EB6">
        <w:rPr>
          <w:bCs/>
          <w:sz w:val="22"/>
          <w:szCs w:val="22"/>
          <w:lang w:eastAsia="en-GB" w:bidi="ar-SA"/>
        </w:rPr>
        <w:t xml:space="preserve"> destinadas a promover a cultura cinematográfica e a melhorar os conhecimentos e o interesse do público em obras audiovisuais europeias, incluindo o património audiovisual e cinematográfico, em particular entre o público jovem;</w:t>
      </w:r>
    </w:p>
    <w:p w:rsidR="004015B3" w:rsidRPr="00C35EB6" w:rsidRDefault="004015B3" w:rsidP="004015B3">
      <w:pPr>
        <w:numPr>
          <w:ilvl w:val="0"/>
          <w:numId w:val="11"/>
        </w:numPr>
        <w:spacing w:after="240" w:line="276" w:lineRule="auto"/>
        <w:ind w:hanging="720"/>
        <w:jc w:val="both"/>
        <w:rPr>
          <w:rFonts w:eastAsia="Arial Unicode MS"/>
          <w:sz w:val="22"/>
          <w:szCs w:val="22"/>
          <w:lang w:eastAsia="en-US" w:bidi="ar-SA"/>
        </w:rPr>
      </w:pPr>
      <w:proofErr w:type="gramStart"/>
      <w:r w:rsidRPr="00C35EB6">
        <w:rPr>
          <w:bCs/>
          <w:sz w:val="22"/>
          <w:szCs w:val="22"/>
          <w:lang w:eastAsia="en-GB" w:bidi="ar-SA"/>
        </w:rPr>
        <w:t>a</w:t>
      </w:r>
      <w:proofErr w:type="gramEnd"/>
      <w:r w:rsidRPr="00C35EB6">
        <w:rPr>
          <w:bCs/>
          <w:sz w:val="22"/>
          <w:szCs w:val="22"/>
          <w:lang w:eastAsia="en-GB" w:bidi="ar-SA"/>
        </w:rPr>
        <w:t xml:space="preserve"> promoção da circulação de filmes europeus em todo o mundo e de filmes internacionais na União em todas as plataformas de distribuição, através de projetos de cooperação internacional no setor audiovisual.</w:t>
      </w:r>
    </w:p>
    <w:p w:rsidR="004015B3" w:rsidRPr="00C35EB6" w:rsidRDefault="004015B3" w:rsidP="004015B3">
      <w:pPr>
        <w:keepNext/>
        <w:numPr>
          <w:ilvl w:val="0"/>
          <w:numId w:val="1"/>
        </w:numPr>
        <w:spacing w:before="240" w:after="240"/>
        <w:outlineLvl w:val="0"/>
        <w:rPr>
          <w:b/>
          <w:smallCaps/>
          <w:sz w:val="22"/>
          <w:szCs w:val="22"/>
          <w:lang w:eastAsia="en-US" w:bidi="ar-SA"/>
        </w:rPr>
      </w:pPr>
      <w:r w:rsidRPr="00C35EB6">
        <w:rPr>
          <w:b/>
          <w:smallCaps/>
          <w:sz w:val="22"/>
          <w:szCs w:val="22"/>
          <w:lang w:eastAsia="en-US" w:bidi="ar-SA"/>
        </w:rPr>
        <w:lastRenderedPageBreak/>
        <w:t>Candidatos elegíveis</w:t>
      </w:r>
    </w:p>
    <w:p w:rsidR="004015B3" w:rsidRPr="00C35EB6" w:rsidRDefault="004015B3" w:rsidP="004015B3">
      <w:pPr>
        <w:spacing w:before="120" w:after="240"/>
        <w:jc w:val="both"/>
        <w:rPr>
          <w:rFonts w:eastAsia="Arial Unicode MS"/>
          <w:sz w:val="22"/>
          <w:szCs w:val="22"/>
          <w:lang w:eastAsia="en-GB" w:bidi="ar-SA"/>
        </w:rPr>
      </w:pPr>
      <w:r w:rsidRPr="00C35EB6">
        <w:rPr>
          <w:rFonts w:eastAsia="Arial Unicode MS"/>
          <w:sz w:val="22"/>
          <w:szCs w:val="22"/>
          <w:lang w:eastAsia="en-GB" w:bidi="ar-SA"/>
        </w:rPr>
        <w:t xml:space="preserve">Os candidatos devem ser consórcios (o líder do projeto e, pelo menos, dois parceiros) de entidades europeias dotadas de personalidade jurídica (empresas privadas, organizações sem fins lucrativos, associações, instituições de caridade, fundações, municípios/conselhos, etc.) estabelecidas num dos países participantes no subprograma MEDIA e que sejam propriedade, diretamente ou através de participação maioritária, de nacionais desses países. </w:t>
      </w:r>
    </w:p>
    <w:p w:rsidR="004015B3" w:rsidRPr="00C35EB6" w:rsidRDefault="004015B3" w:rsidP="004015B3">
      <w:pPr>
        <w:spacing w:after="120"/>
        <w:jc w:val="both"/>
        <w:rPr>
          <w:sz w:val="22"/>
          <w:szCs w:val="22"/>
          <w:lang w:eastAsia="en-GB" w:bidi="ar-SA"/>
        </w:rPr>
      </w:pPr>
      <w:r w:rsidRPr="00C35EB6">
        <w:rPr>
          <w:sz w:val="22"/>
          <w:szCs w:val="22"/>
          <w:lang w:eastAsia="en-GB" w:bidi="ar-SA"/>
        </w:rPr>
        <w:t xml:space="preserve">São elegíveis candidaturas de entidades dotadas de personalidade jurídica estabelecidas num dos seguintes países, desde que todas as condições referidas no artigo 8.º do Regulamento que cria o Programa Europa Criativa estejam preenchidas: </w:t>
      </w:r>
    </w:p>
    <w:p w:rsidR="004015B3" w:rsidRPr="00C35EB6" w:rsidRDefault="004015B3" w:rsidP="004015B3">
      <w:pPr>
        <w:spacing w:after="60" w:line="274" w:lineRule="exact"/>
        <w:ind w:left="720" w:right="20" w:hanging="360"/>
        <w:jc w:val="both"/>
        <w:rPr>
          <w:sz w:val="22"/>
          <w:szCs w:val="22"/>
          <w:lang w:eastAsia="en-GB" w:bidi="ar-SA"/>
        </w:rPr>
      </w:pPr>
      <w:r w:rsidRPr="00C35EB6">
        <w:rPr>
          <w:sz w:val="22"/>
          <w:szCs w:val="22"/>
          <w:lang w:eastAsia="en-GB" w:bidi="ar-SA"/>
        </w:rPr>
        <w:t>-</w:t>
      </w:r>
      <w:r w:rsidRPr="00C35EB6">
        <w:rPr>
          <w:sz w:val="22"/>
          <w:szCs w:val="22"/>
          <w:lang w:eastAsia="en-GB" w:bidi="ar-SA"/>
        </w:rPr>
        <w:tab/>
      </w:r>
      <w:proofErr w:type="gramStart"/>
      <w:r w:rsidRPr="00C35EB6">
        <w:rPr>
          <w:sz w:val="22"/>
          <w:szCs w:val="22"/>
          <w:lang w:eastAsia="en-GB" w:bidi="ar-SA"/>
        </w:rPr>
        <w:t>os</w:t>
      </w:r>
      <w:proofErr w:type="gramEnd"/>
      <w:r w:rsidRPr="00C35EB6">
        <w:rPr>
          <w:sz w:val="22"/>
          <w:szCs w:val="22"/>
          <w:lang w:eastAsia="en-GB" w:bidi="ar-SA"/>
        </w:rPr>
        <w:t xml:space="preserve"> Estados-Membros da UE e os territórios e países ultramarinos que sejam elegíveis para participar no Programa nos termos do artigo 58.º da Decisão 2001/822/CE do Conselho;</w:t>
      </w:r>
    </w:p>
    <w:p w:rsidR="004015B3" w:rsidRPr="00C35EB6" w:rsidRDefault="004015B3" w:rsidP="004015B3">
      <w:pPr>
        <w:spacing w:after="60" w:line="274" w:lineRule="exact"/>
        <w:ind w:left="720" w:right="20" w:hanging="360"/>
        <w:jc w:val="both"/>
        <w:rPr>
          <w:sz w:val="22"/>
          <w:szCs w:val="22"/>
          <w:lang w:eastAsia="en-GB" w:bidi="ar-SA"/>
        </w:rPr>
      </w:pPr>
      <w:r w:rsidRPr="00C35EB6">
        <w:rPr>
          <w:sz w:val="22"/>
          <w:szCs w:val="22"/>
          <w:lang w:eastAsia="en-GB" w:bidi="ar-SA"/>
        </w:rPr>
        <w:t>-</w:t>
      </w:r>
      <w:r w:rsidRPr="00C35EB6">
        <w:rPr>
          <w:sz w:val="22"/>
          <w:szCs w:val="22"/>
          <w:lang w:eastAsia="en-GB" w:bidi="ar-SA"/>
        </w:rPr>
        <w:tab/>
      </w:r>
      <w:proofErr w:type="gramStart"/>
      <w:r w:rsidRPr="00C35EB6">
        <w:rPr>
          <w:sz w:val="22"/>
          <w:szCs w:val="22"/>
          <w:lang w:eastAsia="en-GB" w:bidi="ar-SA"/>
        </w:rPr>
        <w:t>os</w:t>
      </w:r>
      <w:proofErr w:type="gramEnd"/>
      <w:r w:rsidRPr="00C35EB6">
        <w:rPr>
          <w:sz w:val="22"/>
          <w:szCs w:val="22"/>
          <w:lang w:eastAsia="en-GB" w:bidi="ar-SA"/>
        </w:rPr>
        <w:t xml:space="preserve"> países em vias de adesão, os países candidatos e os potenciais candidatos que beneficiem de uma estratégia de pré-adesão, em conformidade com os princípios e os termos e condições gerais aplicáveis à participação destes países em programas da União, como estabelecidos nos respetivos acordos</w:t>
      </w:r>
      <w:r w:rsidRPr="00C35EB6">
        <w:rPr>
          <w:sz w:val="22"/>
          <w:szCs w:val="22"/>
          <w:lang w:eastAsia="en-GB" w:bidi="ar-SA"/>
        </w:rPr>
        <w:noBreakHyphen/>
        <w:t>quadro, nas decisões dos Conselhos de Associação ou em acordos similares;</w:t>
      </w:r>
    </w:p>
    <w:p w:rsidR="004015B3" w:rsidRPr="00C35EB6" w:rsidRDefault="004015B3" w:rsidP="004015B3">
      <w:pPr>
        <w:spacing w:after="60" w:line="274" w:lineRule="exact"/>
        <w:ind w:left="720" w:right="20" w:hanging="360"/>
        <w:jc w:val="both"/>
        <w:rPr>
          <w:sz w:val="22"/>
          <w:szCs w:val="22"/>
          <w:lang w:eastAsia="en-GB" w:bidi="ar-SA"/>
        </w:rPr>
      </w:pPr>
      <w:r w:rsidRPr="00C35EB6">
        <w:rPr>
          <w:sz w:val="22"/>
          <w:szCs w:val="22"/>
          <w:lang w:eastAsia="en-GB" w:bidi="ar-SA"/>
        </w:rPr>
        <w:t>-</w:t>
      </w:r>
      <w:r w:rsidRPr="00C35EB6">
        <w:rPr>
          <w:sz w:val="22"/>
          <w:szCs w:val="22"/>
          <w:lang w:eastAsia="en-GB" w:bidi="ar-SA"/>
        </w:rPr>
        <w:tab/>
      </w:r>
      <w:proofErr w:type="gramStart"/>
      <w:r w:rsidRPr="00C35EB6">
        <w:rPr>
          <w:sz w:val="22"/>
          <w:szCs w:val="22"/>
          <w:lang w:eastAsia="en-GB" w:bidi="ar-SA"/>
        </w:rPr>
        <w:t>os</w:t>
      </w:r>
      <w:proofErr w:type="gramEnd"/>
      <w:r w:rsidRPr="00C35EB6">
        <w:rPr>
          <w:sz w:val="22"/>
          <w:szCs w:val="22"/>
          <w:lang w:eastAsia="en-GB" w:bidi="ar-SA"/>
        </w:rPr>
        <w:t xml:space="preserve"> países da EFTA que são membros do EEE, nas condições definidas no Acordo sobre o EEE;</w:t>
      </w:r>
    </w:p>
    <w:p w:rsidR="004015B3" w:rsidRPr="00C35EB6" w:rsidRDefault="004015B3" w:rsidP="004015B3">
      <w:pPr>
        <w:spacing w:after="60" w:line="274" w:lineRule="exact"/>
        <w:ind w:left="720" w:right="20" w:hanging="360"/>
        <w:jc w:val="both"/>
        <w:rPr>
          <w:sz w:val="22"/>
          <w:szCs w:val="22"/>
          <w:lang w:eastAsia="en-GB" w:bidi="ar-SA"/>
        </w:rPr>
      </w:pPr>
      <w:r w:rsidRPr="00C35EB6">
        <w:rPr>
          <w:sz w:val="22"/>
          <w:szCs w:val="22"/>
          <w:lang w:eastAsia="en-GB" w:bidi="ar-SA"/>
        </w:rPr>
        <w:t>-</w:t>
      </w:r>
      <w:r w:rsidRPr="00C35EB6">
        <w:rPr>
          <w:sz w:val="22"/>
          <w:szCs w:val="22"/>
          <w:lang w:eastAsia="en-GB" w:bidi="ar-SA"/>
        </w:rPr>
        <w:tab/>
      </w:r>
      <w:proofErr w:type="gramStart"/>
      <w:r w:rsidRPr="00C35EB6">
        <w:rPr>
          <w:sz w:val="22"/>
          <w:szCs w:val="22"/>
          <w:lang w:eastAsia="en-GB" w:bidi="ar-SA"/>
        </w:rPr>
        <w:t>a</w:t>
      </w:r>
      <w:proofErr w:type="gramEnd"/>
      <w:r w:rsidRPr="00C35EB6">
        <w:rPr>
          <w:sz w:val="22"/>
          <w:szCs w:val="22"/>
          <w:lang w:eastAsia="en-GB" w:bidi="ar-SA"/>
        </w:rPr>
        <w:t xml:space="preserve"> Confederação Suíça, com base num acordo bilateral a celebrar com este país;</w:t>
      </w:r>
    </w:p>
    <w:p w:rsidR="004015B3" w:rsidRPr="00C35EB6" w:rsidRDefault="004015B3" w:rsidP="004015B3">
      <w:pPr>
        <w:spacing w:after="180" w:line="274" w:lineRule="exact"/>
        <w:ind w:left="720" w:right="20" w:hanging="360"/>
        <w:jc w:val="both"/>
        <w:rPr>
          <w:sz w:val="22"/>
          <w:szCs w:val="22"/>
          <w:lang w:eastAsia="en-GB" w:bidi="ar-SA"/>
        </w:rPr>
      </w:pPr>
      <w:r w:rsidRPr="00C35EB6">
        <w:rPr>
          <w:sz w:val="22"/>
          <w:szCs w:val="22"/>
          <w:lang w:eastAsia="en-GB" w:bidi="ar-SA"/>
        </w:rPr>
        <w:t>-</w:t>
      </w:r>
      <w:r w:rsidRPr="00C35EB6">
        <w:rPr>
          <w:sz w:val="22"/>
          <w:szCs w:val="22"/>
          <w:lang w:eastAsia="en-GB" w:bidi="ar-SA"/>
        </w:rPr>
        <w:tab/>
      </w:r>
      <w:proofErr w:type="gramStart"/>
      <w:r w:rsidRPr="00C35EB6">
        <w:rPr>
          <w:sz w:val="22"/>
          <w:szCs w:val="22"/>
          <w:lang w:eastAsia="en-GB" w:bidi="ar-SA"/>
        </w:rPr>
        <w:t>os</w:t>
      </w:r>
      <w:proofErr w:type="gramEnd"/>
      <w:r w:rsidRPr="00C35EB6">
        <w:rPr>
          <w:sz w:val="22"/>
          <w:szCs w:val="22"/>
          <w:lang w:eastAsia="en-GB" w:bidi="ar-SA"/>
        </w:rPr>
        <w:t xml:space="preserve"> países abrangidos pela política europeia de vizinhança, nos termos definidos com estes países nos acordos</w:t>
      </w:r>
      <w:r w:rsidRPr="00C35EB6">
        <w:rPr>
          <w:sz w:val="22"/>
          <w:szCs w:val="22"/>
          <w:lang w:eastAsia="en-GB" w:bidi="ar-SA"/>
        </w:rPr>
        <w:noBreakHyphen/>
        <w:t>quadro que preveem a sua participação em programas da União.</w:t>
      </w:r>
    </w:p>
    <w:p w:rsidR="004015B3" w:rsidRPr="00C35EB6" w:rsidRDefault="004015B3" w:rsidP="004015B3">
      <w:pPr>
        <w:spacing w:after="180" w:line="274" w:lineRule="exact"/>
        <w:jc w:val="both"/>
        <w:rPr>
          <w:sz w:val="22"/>
          <w:szCs w:val="22"/>
          <w:lang w:eastAsia="en-GB" w:bidi="ar-SA"/>
        </w:rPr>
      </w:pPr>
      <w:r w:rsidRPr="00C35EB6">
        <w:rPr>
          <w:sz w:val="22"/>
          <w:szCs w:val="22"/>
          <w:lang w:eastAsia="en-GB" w:bidi="ar-SA"/>
        </w:rPr>
        <w:t>O programa está também aberto a ações de cooperação bilateral ou multilateral que visem países ou regiões selecionados, com base em dotações suplementares pagas por esses países ou regiões e em disposições específicas a acordar com os mesmos.</w:t>
      </w:r>
    </w:p>
    <w:p w:rsidR="004015B3" w:rsidRPr="00C35EB6" w:rsidRDefault="004015B3" w:rsidP="004015B3">
      <w:pPr>
        <w:spacing w:after="180" w:line="274" w:lineRule="exact"/>
        <w:jc w:val="both"/>
        <w:rPr>
          <w:sz w:val="22"/>
          <w:szCs w:val="22"/>
          <w:lang w:eastAsia="en-GB" w:bidi="ar-SA"/>
        </w:rPr>
      </w:pPr>
      <w:r w:rsidRPr="00C35EB6">
        <w:rPr>
          <w:sz w:val="22"/>
          <w:szCs w:val="22"/>
          <w:lang w:eastAsia="en-GB" w:bidi="ar-SA"/>
        </w:rPr>
        <w:t>O programa permite a realização de ações de cooperação e de ações conjuntas com países que não participem no Programa, bem como com organizações internacionais ativas nos setores culturais e criativos, como a UNESCO, o Conselho da Europa, a Organização de Cooperação e de Desenvolvimento Económico e a Organização Mundial da Propriedade Intelectual, com base em contribuições conjuntas para a realização dos objetivos do Programa.</w:t>
      </w:r>
    </w:p>
    <w:p w:rsidR="004015B3" w:rsidRPr="00C35EB6" w:rsidRDefault="004015B3" w:rsidP="004015B3">
      <w:pPr>
        <w:jc w:val="both"/>
        <w:rPr>
          <w:sz w:val="22"/>
          <w:szCs w:val="22"/>
          <w:lang w:eastAsia="en-GB" w:bidi="ar-SA"/>
        </w:rPr>
      </w:pPr>
      <w:r w:rsidRPr="00C35EB6">
        <w:rPr>
          <w:sz w:val="22"/>
          <w:szCs w:val="22"/>
          <w:lang w:eastAsia="en-GB" w:bidi="ar-SA"/>
        </w:rPr>
        <w:t xml:space="preserve">Podem ser selecionadas candidaturas apresentadas por candidatos de países exteriores à UE, desde que, à data da decisão de adjudicação, tenham sido assinados acordos que definam as modalidades de participação desses países no programa estabelecido pelo regulamento acima referido. </w:t>
      </w:r>
    </w:p>
    <w:p w:rsidR="00863699" w:rsidRPr="00C35EB6" w:rsidRDefault="004015B3" w:rsidP="004015B3">
      <w:pPr>
        <w:jc w:val="both"/>
        <w:rPr>
          <w:sz w:val="22"/>
          <w:szCs w:val="22"/>
        </w:rPr>
      </w:pPr>
      <w:r w:rsidRPr="00C35EB6">
        <w:rPr>
          <w:sz w:val="22"/>
          <w:szCs w:val="22"/>
          <w:lang w:eastAsia="en-GB" w:bidi="ar-SA"/>
        </w:rPr>
        <w:t>(A lista atualizada dos países que preenchem as condições referidas no artigo 8.º do regulamento ou com os quais a Comissão encetou negociações encontra-se disponível no seguinte endereço</w:t>
      </w:r>
      <w:r w:rsidR="00C35EB6" w:rsidRPr="00C35EB6">
        <w:rPr>
          <w:sz w:val="22"/>
        </w:rPr>
        <w:t>:</w:t>
      </w:r>
    </w:p>
    <w:p w:rsidR="000139A4" w:rsidRPr="002A1B85" w:rsidRDefault="002A1B85" w:rsidP="001337F5">
      <w:pPr>
        <w:jc w:val="both"/>
        <w:rPr>
          <w:rFonts w:eastAsia="Calibri"/>
          <w:sz w:val="22"/>
          <w:szCs w:val="22"/>
        </w:rPr>
      </w:pPr>
      <w:hyperlink r:id="rId10" w:history="1">
        <w:r w:rsidR="00C35EB6" w:rsidRPr="002A1B85">
          <w:rPr>
            <w:rStyle w:val="Hyperlink"/>
            <w:color w:val="auto"/>
            <w:sz w:val="22"/>
          </w:rPr>
          <w:t>http://eacea.ec.europa.eu/creative-europe/library/eligibility-organisations-non-eu-countries_en</w:t>
        </w:r>
      </w:hyperlink>
      <w:r w:rsidR="00C35EB6" w:rsidRPr="002A1B85">
        <w:rPr>
          <w:sz w:val="22"/>
        </w:rPr>
        <w:t>).</w:t>
      </w:r>
    </w:p>
    <w:p w:rsidR="001337F5" w:rsidRPr="002A1B85" w:rsidRDefault="001337F5" w:rsidP="001337F5">
      <w:pPr>
        <w:jc w:val="both"/>
        <w:rPr>
          <w:rFonts w:eastAsia="Calibri"/>
          <w:sz w:val="22"/>
          <w:szCs w:val="22"/>
        </w:rPr>
      </w:pPr>
    </w:p>
    <w:p w:rsidR="001337F5" w:rsidRPr="00C35EB6" w:rsidRDefault="00C35EB6" w:rsidP="001337F5">
      <w:pPr>
        <w:jc w:val="both"/>
        <w:rPr>
          <w:rFonts w:eastAsia="Calibri"/>
          <w:sz w:val="22"/>
          <w:szCs w:val="22"/>
        </w:rPr>
      </w:pPr>
      <w:r w:rsidRPr="00C35EB6">
        <w:rPr>
          <w:sz w:val="22"/>
        </w:rPr>
        <w:t>O líder do projeto submete a candidatura em nome de todos os parceiros.</w:t>
      </w:r>
    </w:p>
    <w:p w:rsidR="00562159" w:rsidRPr="00C35EB6" w:rsidRDefault="00562159" w:rsidP="000139A4">
      <w:pPr>
        <w:jc w:val="both"/>
        <w:rPr>
          <w:rFonts w:eastAsia="Calibri"/>
          <w:sz w:val="22"/>
          <w:szCs w:val="22"/>
        </w:rPr>
      </w:pPr>
    </w:p>
    <w:p w:rsidR="0048665C" w:rsidRPr="00C35EB6" w:rsidRDefault="00C35EB6" w:rsidP="00863699">
      <w:pPr>
        <w:autoSpaceDE w:val="0"/>
        <w:autoSpaceDN w:val="0"/>
        <w:adjustRightInd w:val="0"/>
        <w:rPr>
          <w:sz w:val="22"/>
          <w:szCs w:val="22"/>
        </w:rPr>
      </w:pPr>
      <w:r w:rsidRPr="00C35EB6">
        <w:rPr>
          <w:sz w:val="22"/>
        </w:rPr>
        <w:t xml:space="preserve">As pessoas singulares </w:t>
      </w:r>
      <w:r w:rsidRPr="00C35EB6">
        <w:rPr>
          <w:b/>
          <w:sz w:val="22"/>
        </w:rPr>
        <w:t>não</w:t>
      </w:r>
      <w:r w:rsidRPr="00C35EB6">
        <w:rPr>
          <w:sz w:val="22"/>
        </w:rPr>
        <w:t xml:space="preserve"> podem candidatar-se a uma subvenção.</w:t>
      </w:r>
    </w:p>
    <w:p w:rsidR="00D6275F" w:rsidRPr="002A1B85" w:rsidRDefault="002A1B85" w:rsidP="002A1B85">
      <w:pPr>
        <w:keepNext/>
        <w:numPr>
          <w:ilvl w:val="0"/>
          <w:numId w:val="1"/>
        </w:numPr>
        <w:spacing w:before="240" w:after="240"/>
        <w:outlineLvl w:val="0"/>
        <w:rPr>
          <w:b/>
          <w:smallCaps/>
          <w:sz w:val="22"/>
          <w:szCs w:val="22"/>
          <w:lang w:eastAsia="en-US" w:bidi="ar-SA"/>
        </w:rPr>
      </w:pPr>
      <w:proofErr w:type="gramStart"/>
      <w:r>
        <w:rPr>
          <w:b/>
          <w:smallCaps/>
          <w:sz w:val="22"/>
          <w:szCs w:val="22"/>
          <w:lang w:eastAsia="en-US" w:bidi="ar-SA"/>
        </w:rPr>
        <w:t>atividades</w:t>
      </w:r>
      <w:proofErr w:type="gramEnd"/>
      <w:r w:rsidR="00C35EB6" w:rsidRPr="002A1B85">
        <w:rPr>
          <w:b/>
          <w:smallCaps/>
          <w:sz w:val="22"/>
          <w:szCs w:val="22"/>
          <w:lang w:eastAsia="en-US" w:bidi="ar-SA"/>
        </w:rPr>
        <w:t xml:space="preserve"> elegíveis</w:t>
      </w:r>
    </w:p>
    <w:p w:rsidR="001337F5" w:rsidRPr="00C35EB6" w:rsidRDefault="00C35EB6" w:rsidP="001337F5">
      <w:pPr>
        <w:spacing w:after="120"/>
        <w:jc w:val="both"/>
        <w:rPr>
          <w:rFonts w:eastAsia="Calibri"/>
          <w:kern w:val="32"/>
          <w:sz w:val="22"/>
          <w:szCs w:val="22"/>
        </w:rPr>
      </w:pPr>
      <w:r w:rsidRPr="00C35EB6">
        <w:rPr>
          <w:kern w:val="32"/>
          <w:sz w:val="22"/>
        </w:rPr>
        <w:t xml:space="preserve">A criação de um catálogo com curadoria de filmes europeus e materiais pedagógicos relacionados a ser disponibilizado a jovens entre os 11 e os 18 anos que frequentam o ensino primário e secundário em países que participam no Subprograma MEDIA.  </w:t>
      </w:r>
    </w:p>
    <w:p w:rsidR="001337F5" w:rsidRPr="00C35EB6" w:rsidRDefault="00C35EB6" w:rsidP="001337F5">
      <w:pPr>
        <w:spacing w:after="120"/>
        <w:jc w:val="both"/>
        <w:rPr>
          <w:rFonts w:eastAsia="Calibri"/>
          <w:kern w:val="32"/>
          <w:sz w:val="22"/>
          <w:szCs w:val="22"/>
        </w:rPr>
      </w:pPr>
      <w:r w:rsidRPr="00C35EB6">
        <w:rPr>
          <w:kern w:val="32"/>
          <w:sz w:val="22"/>
        </w:rPr>
        <w:t xml:space="preserve">O catálogo inclui filmes de conhecimento geral que contribuíram para a história da filmografia europeia a serem utilizados em contexto de atividades de educação cinematográfica. </w:t>
      </w:r>
    </w:p>
    <w:p w:rsidR="001337F5" w:rsidRPr="00C35EB6" w:rsidRDefault="00C35EB6" w:rsidP="001337F5">
      <w:pPr>
        <w:spacing w:after="120"/>
        <w:jc w:val="both"/>
        <w:rPr>
          <w:rFonts w:eastAsia="Calibri"/>
          <w:kern w:val="32"/>
          <w:sz w:val="22"/>
          <w:szCs w:val="22"/>
        </w:rPr>
      </w:pPr>
      <w:r w:rsidRPr="00C35EB6">
        <w:rPr>
          <w:kern w:val="32"/>
          <w:sz w:val="22"/>
        </w:rPr>
        <w:t xml:space="preserve">O catálogo inclui no mínimo 7 longas-metragens. </w:t>
      </w:r>
    </w:p>
    <w:p w:rsidR="001337F5" w:rsidRPr="00C35EB6" w:rsidRDefault="00C35EB6" w:rsidP="001337F5">
      <w:pPr>
        <w:spacing w:after="120"/>
        <w:jc w:val="both"/>
        <w:rPr>
          <w:rFonts w:eastAsia="Calibri"/>
          <w:kern w:val="32"/>
          <w:sz w:val="22"/>
          <w:szCs w:val="22"/>
        </w:rPr>
      </w:pPr>
      <w:r w:rsidRPr="00C35EB6">
        <w:rPr>
          <w:kern w:val="32"/>
          <w:sz w:val="22"/>
        </w:rPr>
        <w:lastRenderedPageBreak/>
        <w:t xml:space="preserve">Os direitos dos filmes no catálogo deverão ser adquiridos no período mínimo de 3 anos e para todos os países que participam no subprograma MEDIA. As versões linguísticas (dobragem ou legendagem) estarão disponíveis em todos os países que participam no programa para a maioria dos filmes no catálogo. </w:t>
      </w:r>
    </w:p>
    <w:p w:rsidR="001337F5" w:rsidRPr="00C35EB6" w:rsidRDefault="00C35EB6" w:rsidP="001337F5">
      <w:pPr>
        <w:spacing w:after="120"/>
        <w:jc w:val="both"/>
        <w:rPr>
          <w:rFonts w:eastAsia="Calibri"/>
          <w:kern w:val="32"/>
          <w:sz w:val="22"/>
          <w:szCs w:val="22"/>
        </w:rPr>
      </w:pPr>
      <w:r w:rsidRPr="00C35EB6">
        <w:rPr>
          <w:kern w:val="32"/>
          <w:sz w:val="22"/>
        </w:rPr>
        <w:t xml:space="preserve">O catálogo deve respeitar certos tipos de diversidade em termos de: </w:t>
      </w:r>
    </w:p>
    <w:p w:rsidR="001337F5" w:rsidRPr="00C35EB6" w:rsidRDefault="00C35EB6" w:rsidP="001337F5">
      <w:pPr>
        <w:spacing w:after="120"/>
        <w:jc w:val="both"/>
        <w:rPr>
          <w:rFonts w:eastAsia="Calibri"/>
          <w:kern w:val="32"/>
          <w:sz w:val="22"/>
          <w:szCs w:val="22"/>
        </w:rPr>
      </w:pPr>
      <w:r w:rsidRPr="00C35EB6">
        <w:rPr>
          <w:kern w:val="32"/>
          <w:sz w:val="22"/>
        </w:rPr>
        <w:t>-</w:t>
      </w:r>
      <w:r w:rsidRPr="00C35EB6">
        <w:tab/>
      </w:r>
      <w:proofErr w:type="gramStart"/>
      <w:r w:rsidRPr="00C35EB6">
        <w:rPr>
          <w:kern w:val="32"/>
          <w:sz w:val="22"/>
        </w:rPr>
        <w:t>nacionalidade</w:t>
      </w:r>
      <w:proofErr w:type="gramEnd"/>
    </w:p>
    <w:p w:rsidR="001337F5" w:rsidRPr="00C35EB6" w:rsidRDefault="00C35EB6" w:rsidP="001337F5">
      <w:pPr>
        <w:spacing w:after="120"/>
        <w:jc w:val="both"/>
        <w:rPr>
          <w:rFonts w:eastAsia="Calibri"/>
          <w:kern w:val="32"/>
          <w:sz w:val="22"/>
          <w:szCs w:val="22"/>
        </w:rPr>
      </w:pPr>
      <w:r w:rsidRPr="00C35EB6">
        <w:rPr>
          <w:kern w:val="32"/>
          <w:sz w:val="22"/>
        </w:rPr>
        <w:t>-</w:t>
      </w:r>
      <w:r w:rsidRPr="00C35EB6">
        <w:tab/>
      </w:r>
      <w:proofErr w:type="gramStart"/>
      <w:r w:rsidRPr="00C35EB6">
        <w:rPr>
          <w:kern w:val="32"/>
          <w:sz w:val="22"/>
        </w:rPr>
        <w:t>língua</w:t>
      </w:r>
      <w:proofErr w:type="gramEnd"/>
    </w:p>
    <w:p w:rsidR="001337F5" w:rsidRPr="00C35EB6" w:rsidRDefault="00C35EB6" w:rsidP="001337F5">
      <w:pPr>
        <w:spacing w:after="120"/>
        <w:jc w:val="both"/>
        <w:rPr>
          <w:rFonts w:eastAsia="Calibri"/>
          <w:kern w:val="32"/>
          <w:sz w:val="22"/>
          <w:szCs w:val="22"/>
        </w:rPr>
      </w:pPr>
      <w:r w:rsidRPr="00C35EB6">
        <w:rPr>
          <w:kern w:val="32"/>
          <w:sz w:val="22"/>
        </w:rPr>
        <w:t>-</w:t>
      </w:r>
      <w:r w:rsidRPr="00C35EB6">
        <w:tab/>
      </w:r>
      <w:proofErr w:type="gramStart"/>
      <w:r w:rsidRPr="00C35EB6">
        <w:rPr>
          <w:kern w:val="32"/>
          <w:sz w:val="22"/>
        </w:rPr>
        <w:t>género</w:t>
      </w:r>
      <w:proofErr w:type="gramEnd"/>
    </w:p>
    <w:p w:rsidR="001337F5" w:rsidRPr="00C35EB6" w:rsidRDefault="00C35EB6" w:rsidP="001337F5">
      <w:pPr>
        <w:spacing w:after="120"/>
        <w:jc w:val="both"/>
        <w:rPr>
          <w:rFonts w:eastAsia="Calibri"/>
          <w:kern w:val="32"/>
          <w:sz w:val="22"/>
          <w:szCs w:val="22"/>
        </w:rPr>
      </w:pPr>
      <w:r w:rsidRPr="00C35EB6">
        <w:rPr>
          <w:kern w:val="32"/>
          <w:sz w:val="22"/>
        </w:rPr>
        <w:t>-</w:t>
      </w:r>
      <w:r w:rsidRPr="00C35EB6">
        <w:tab/>
      </w:r>
      <w:proofErr w:type="gramStart"/>
      <w:r w:rsidRPr="00C35EB6">
        <w:rPr>
          <w:kern w:val="32"/>
          <w:sz w:val="22"/>
        </w:rPr>
        <w:t>ano</w:t>
      </w:r>
      <w:proofErr w:type="gramEnd"/>
      <w:r w:rsidRPr="00C35EB6">
        <w:rPr>
          <w:kern w:val="32"/>
          <w:sz w:val="22"/>
        </w:rPr>
        <w:t xml:space="preserve"> de produção</w:t>
      </w:r>
    </w:p>
    <w:p w:rsidR="001337F5" w:rsidRPr="00C35EB6" w:rsidRDefault="00C35EB6" w:rsidP="001337F5">
      <w:pPr>
        <w:spacing w:after="120"/>
        <w:jc w:val="both"/>
        <w:rPr>
          <w:rFonts w:eastAsia="Calibri"/>
          <w:kern w:val="32"/>
          <w:sz w:val="22"/>
          <w:szCs w:val="22"/>
        </w:rPr>
      </w:pPr>
      <w:r w:rsidRPr="00C35EB6">
        <w:rPr>
          <w:kern w:val="32"/>
          <w:sz w:val="22"/>
        </w:rPr>
        <w:t>-</w:t>
      </w:r>
      <w:r w:rsidRPr="00C35EB6">
        <w:tab/>
      </w:r>
      <w:proofErr w:type="gramStart"/>
      <w:r w:rsidRPr="00C35EB6">
        <w:rPr>
          <w:kern w:val="32"/>
          <w:sz w:val="22"/>
        </w:rPr>
        <w:t>tema</w:t>
      </w:r>
      <w:proofErr w:type="gramEnd"/>
      <w:r w:rsidRPr="00C35EB6">
        <w:rPr>
          <w:kern w:val="32"/>
          <w:sz w:val="22"/>
        </w:rPr>
        <w:t>/tópico</w:t>
      </w:r>
    </w:p>
    <w:p w:rsidR="00A51377" w:rsidRPr="00C35EB6" w:rsidRDefault="00C35EB6" w:rsidP="001337F5">
      <w:pPr>
        <w:spacing w:after="120"/>
        <w:jc w:val="both"/>
        <w:rPr>
          <w:rFonts w:eastAsia="Calibri"/>
          <w:kern w:val="32"/>
          <w:sz w:val="22"/>
          <w:szCs w:val="22"/>
        </w:rPr>
      </w:pPr>
      <w:r w:rsidRPr="00C35EB6">
        <w:rPr>
          <w:kern w:val="32"/>
          <w:sz w:val="22"/>
        </w:rPr>
        <w:t>-</w:t>
      </w:r>
      <w:r w:rsidRPr="00C35EB6">
        <w:tab/>
      </w:r>
      <w:proofErr w:type="gramStart"/>
      <w:r w:rsidRPr="00C35EB6">
        <w:rPr>
          <w:kern w:val="32"/>
          <w:sz w:val="22"/>
        </w:rPr>
        <w:t>sexo</w:t>
      </w:r>
      <w:proofErr w:type="gramEnd"/>
    </w:p>
    <w:p w:rsidR="001337F5" w:rsidRPr="00C35EB6" w:rsidRDefault="00C35EB6" w:rsidP="001337F5">
      <w:pPr>
        <w:spacing w:after="120"/>
        <w:jc w:val="both"/>
        <w:rPr>
          <w:rFonts w:eastAsia="Calibri"/>
          <w:kern w:val="32"/>
          <w:sz w:val="22"/>
          <w:szCs w:val="22"/>
        </w:rPr>
      </w:pPr>
      <w:r w:rsidRPr="00C35EB6">
        <w:rPr>
          <w:kern w:val="32"/>
          <w:sz w:val="22"/>
        </w:rPr>
        <w:t xml:space="preserve">A publicação do catálogo deve pressupor uma campanha de comunicação ambiciosa para promover o projeto nas escolas e entre o público em geral. </w:t>
      </w:r>
    </w:p>
    <w:p w:rsidR="000D59EB" w:rsidRPr="00C35EB6" w:rsidRDefault="00C35EB6" w:rsidP="000D59EB">
      <w:pPr>
        <w:spacing w:after="120"/>
        <w:jc w:val="both"/>
        <w:rPr>
          <w:rFonts w:eastAsia="Calibri"/>
          <w:kern w:val="32"/>
          <w:sz w:val="22"/>
          <w:szCs w:val="22"/>
        </w:rPr>
      </w:pPr>
      <w:r w:rsidRPr="00C35EB6">
        <w:rPr>
          <w:kern w:val="32"/>
          <w:sz w:val="22"/>
        </w:rPr>
        <w:t xml:space="preserve">As atividades abrangem: a autorização dos direitos educacionais dos filmes, a preparação dos pacotes de dobragem ou legendagem, os materiais pedagógicos e as iniciativas de divulgação e promoção em escolas específicas e entre o público em geral. </w:t>
      </w:r>
    </w:p>
    <w:p w:rsidR="001337F5" w:rsidRPr="00C35EB6" w:rsidRDefault="00C35EB6" w:rsidP="000D59EB">
      <w:pPr>
        <w:spacing w:after="120"/>
        <w:jc w:val="both"/>
        <w:rPr>
          <w:rFonts w:eastAsia="Arial Unicode MS"/>
          <w:sz w:val="22"/>
          <w:szCs w:val="22"/>
        </w:rPr>
      </w:pPr>
      <w:r w:rsidRPr="00C35EB6">
        <w:rPr>
          <w:sz w:val="22"/>
        </w:rPr>
        <w:t>O período de elegibilidade dos custos tem início a 01/06/2019 e dura 19 meses. O catálogo deve estar pronto e disponível até 30/09/2020, o mais tardar. Os últimos três meses da ação devem ser utilizados apenas na divulgação e promoção do catálogo nas escolas e entre o público em geral.</w:t>
      </w:r>
    </w:p>
    <w:p w:rsidR="00E42571" w:rsidRPr="002A1B85" w:rsidRDefault="00C35EB6" w:rsidP="00E42571">
      <w:pPr>
        <w:pStyle w:val="Heading1"/>
        <w:rPr>
          <w:sz w:val="22"/>
          <w:szCs w:val="22"/>
        </w:rPr>
      </w:pPr>
      <w:r w:rsidRPr="002A1B85">
        <w:rPr>
          <w:sz w:val="22"/>
          <w:szCs w:val="22"/>
        </w:rPr>
        <w:t>Critérios de atribuição</w:t>
      </w:r>
    </w:p>
    <w:p w:rsidR="00AF5C23" w:rsidRPr="00C35EB6" w:rsidRDefault="00C35EB6" w:rsidP="0076735E">
      <w:pPr>
        <w:pStyle w:val="Text1"/>
        <w:ind w:left="0"/>
        <w:jc w:val="left"/>
        <w:rPr>
          <w:sz w:val="22"/>
          <w:szCs w:val="22"/>
        </w:rPr>
      </w:pPr>
      <w:r w:rsidRPr="00C35EB6">
        <w:rPr>
          <w:sz w:val="22"/>
        </w:rPr>
        <w:t>Serão atribuídos pontos, num máximo de 100, com base na seguinte ponderação:</w:t>
      </w:r>
    </w:p>
    <w:p w:rsidR="008C0A13" w:rsidRPr="00C35EB6" w:rsidRDefault="00C35EB6" w:rsidP="00871183">
      <w:pPr>
        <w:pStyle w:val="Text1"/>
        <w:spacing w:after="0"/>
        <w:ind w:left="0"/>
        <w:rPr>
          <w:spacing w:val="-3"/>
          <w:sz w:val="22"/>
          <w:szCs w:val="22"/>
        </w:rPr>
      </w:pPr>
      <w:r w:rsidRPr="00C35EB6">
        <w:rPr>
          <w:spacing w:val="-3"/>
          <w:sz w:val="22"/>
          <w:u w:val="single"/>
        </w:rPr>
        <w:t>Relevância e valor acrescentado europeu</w:t>
      </w:r>
      <w:r w:rsidRPr="00C35EB6">
        <w:rPr>
          <w:spacing w:val="-3"/>
          <w:sz w:val="22"/>
        </w:rPr>
        <w:t xml:space="preserve"> (30 pontos):</w:t>
      </w:r>
    </w:p>
    <w:p w:rsidR="004E4528" w:rsidRPr="00C35EB6" w:rsidRDefault="004E4528" w:rsidP="00871183">
      <w:pPr>
        <w:pStyle w:val="Text1"/>
        <w:spacing w:after="0"/>
        <w:ind w:left="0"/>
        <w:rPr>
          <w:spacing w:val="-3"/>
          <w:sz w:val="22"/>
          <w:szCs w:val="22"/>
        </w:rPr>
      </w:pPr>
    </w:p>
    <w:p w:rsidR="00A12485" w:rsidRPr="00C35EB6" w:rsidRDefault="00C35EB6" w:rsidP="001337F5">
      <w:pPr>
        <w:pStyle w:val="Text1"/>
        <w:ind w:left="0"/>
        <w:rPr>
          <w:spacing w:val="-3"/>
          <w:sz w:val="22"/>
          <w:szCs w:val="22"/>
        </w:rPr>
      </w:pPr>
      <w:r w:rsidRPr="00C35EB6">
        <w:rPr>
          <w:sz w:val="22"/>
        </w:rPr>
        <w:t>Este critério avalia a relevância do conteúdo da ação tendo em conta os objetivos do convite à apresentação de propostas. Será avaliada, em particular, a relevância dos filmes propostos no catálogo, a capacidade de implementar o projeto ao nível europeu e de chegar às audiências pretendidas.</w:t>
      </w:r>
    </w:p>
    <w:p w:rsidR="008C0A13" w:rsidRPr="00C35EB6" w:rsidRDefault="00C35EB6" w:rsidP="00391C49">
      <w:pPr>
        <w:pStyle w:val="Text1"/>
        <w:spacing w:after="120"/>
        <w:ind w:left="0"/>
        <w:rPr>
          <w:spacing w:val="-3"/>
          <w:sz w:val="22"/>
          <w:szCs w:val="22"/>
        </w:rPr>
      </w:pPr>
      <w:r w:rsidRPr="00C35EB6">
        <w:rPr>
          <w:spacing w:val="-3"/>
          <w:sz w:val="22"/>
          <w:u w:val="single"/>
        </w:rPr>
        <w:t>Qualidade do conteúdo e das atividades</w:t>
      </w:r>
      <w:r w:rsidRPr="00C35EB6">
        <w:rPr>
          <w:spacing w:val="-3"/>
          <w:sz w:val="22"/>
        </w:rPr>
        <w:t xml:space="preserve"> (30 pontos):</w:t>
      </w:r>
    </w:p>
    <w:p w:rsidR="00871183" w:rsidRPr="00C35EB6" w:rsidRDefault="00C35EB6" w:rsidP="008C0A13">
      <w:pPr>
        <w:pStyle w:val="Text1"/>
        <w:spacing w:after="0"/>
        <w:ind w:left="0"/>
        <w:rPr>
          <w:kern w:val="32"/>
          <w:sz w:val="22"/>
          <w:szCs w:val="22"/>
        </w:rPr>
      </w:pPr>
      <w:r w:rsidRPr="00C35EB6">
        <w:rPr>
          <w:kern w:val="32"/>
          <w:sz w:val="22"/>
        </w:rPr>
        <w:t>Este critério avalia a qualidade e a viabilidade gerais do projeto, incluindo as características do catálogo e dos materiais pedagógicos, da utilização estratégica de tecnologia digital e diferentes plataformas de distribuição para chegar ao público-alvo, bem como do modelo de consumo proposto.</w:t>
      </w:r>
    </w:p>
    <w:p w:rsidR="001337F5" w:rsidRPr="00C35EB6" w:rsidRDefault="001337F5" w:rsidP="008C0A13">
      <w:pPr>
        <w:pStyle w:val="Text1"/>
        <w:spacing w:after="0"/>
        <w:ind w:left="0"/>
        <w:rPr>
          <w:spacing w:val="-3"/>
          <w:sz w:val="22"/>
          <w:szCs w:val="22"/>
        </w:rPr>
      </w:pPr>
    </w:p>
    <w:p w:rsidR="008C0A13" w:rsidRPr="00C35EB6" w:rsidRDefault="00C35EB6" w:rsidP="00871183">
      <w:pPr>
        <w:pStyle w:val="Text1"/>
        <w:spacing w:after="120"/>
        <w:ind w:left="0"/>
        <w:rPr>
          <w:spacing w:val="-3"/>
          <w:sz w:val="22"/>
          <w:szCs w:val="22"/>
        </w:rPr>
      </w:pPr>
      <w:r w:rsidRPr="00C35EB6">
        <w:rPr>
          <w:sz w:val="22"/>
          <w:u w:val="single"/>
        </w:rPr>
        <w:t>Divulgação dos resultados do projeto, impacto e sustentabilidade</w:t>
      </w:r>
      <w:r w:rsidRPr="00C35EB6">
        <w:rPr>
          <w:sz w:val="22"/>
        </w:rPr>
        <w:t xml:space="preserve"> (20 pontos):</w:t>
      </w:r>
    </w:p>
    <w:p w:rsidR="00391C49" w:rsidRPr="00C35EB6" w:rsidRDefault="00C35EB6" w:rsidP="00391C49">
      <w:pPr>
        <w:tabs>
          <w:tab w:val="left" w:pos="4536"/>
        </w:tabs>
        <w:jc w:val="both"/>
        <w:rPr>
          <w:kern w:val="32"/>
          <w:sz w:val="22"/>
          <w:szCs w:val="22"/>
        </w:rPr>
      </w:pPr>
      <w:r w:rsidRPr="00C35EB6">
        <w:rPr>
          <w:kern w:val="32"/>
          <w:sz w:val="22"/>
        </w:rPr>
        <w:t>Este critério avalia as estratégias propostas para divulgar o projeto em escolas específicas, bem como entre o público em geral.</w:t>
      </w:r>
    </w:p>
    <w:p w:rsidR="001337F5" w:rsidRPr="00C35EB6" w:rsidRDefault="001337F5" w:rsidP="00391C49">
      <w:pPr>
        <w:tabs>
          <w:tab w:val="left" w:pos="4536"/>
        </w:tabs>
        <w:jc w:val="both"/>
        <w:rPr>
          <w:kern w:val="32"/>
          <w:sz w:val="22"/>
          <w:szCs w:val="22"/>
        </w:rPr>
      </w:pPr>
    </w:p>
    <w:p w:rsidR="008C0A13" w:rsidRPr="00C35EB6" w:rsidRDefault="00C35EB6" w:rsidP="00391C49">
      <w:pPr>
        <w:tabs>
          <w:tab w:val="left" w:pos="4536"/>
        </w:tabs>
        <w:jc w:val="both"/>
        <w:rPr>
          <w:kern w:val="32"/>
          <w:sz w:val="22"/>
          <w:szCs w:val="22"/>
          <w:u w:val="single"/>
        </w:rPr>
      </w:pPr>
      <w:r w:rsidRPr="00C35EB6">
        <w:rPr>
          <w:kern w:val="32"/>
          <w:sz w:val="22"/>
          <w:u w:val="single"/>
        </w:rPr>
        <w:t>Qualidade da equipa do projeto e do grupo (20 pontos)</w:t>
      </w:r>
      <w:r w:rsidR="002A1B85">
        <w:rPr>
          <w:kern w:val="32"/>
          <w:sz w:val="22"/>
          <w:u w:val="single"/>
        </w:rPr>
        <w:t>:</w:t>
      </w:r>
    </w:p>
    <w:p w:rsidR="00A51377" w:rsidRPr="00C35EB6" w:rsidRDefault="00A51377" w:rsidP="00391C49">
      <w:pPr>
        <w:tabs>
          <w:tab w:val="left" w:pos="4536"/>
        </w:tabs>
        <w:jc w:val="both"/>
        <w:rPr>
          <w:kern w:val="32"/>
          <w:sz w:val="22"/>
          <w:szCs w:val="22"/>
          <w:u w:val="single"/>
        </w:rPr>
      </w:pPr>
    </w:p>
    <w:p w:rsidR="00871183" w:rsidRPr="00C35EB6" w:rsidRDefault="00C35EB6" w:rsidP="001337F5">
      <w:pPr>
        <w:pStyle w:val="Text1"/>
        <w:spacing w:after="0"/>
        <w:ind w:left="0"/>
        <w:rPr>
          <w:kern w:val="32"/>
          <w:sz w:val="22"/>
        </w:rPr>
      </w:pPr>
      <w:r w:rsidRPr="00C35EB6">
        <w:rPr>
          <w:kern w:val="32"/>
          <w:sz w:val="22"/>
        </w:rPr>
        <w:t>Este critério terá em conta o alcance da parceria e o intercâmbio de conhecimentos no âmbito da parceria, bem como a distribuição de papéis e responsabilidades face aos objetivos da ação.</w:t>
      </w:r>
    </w:p>
    <w:p w:rsidR="00B71CAF" w:rsidRPr="00C35EB6" w:rsidRDefault="00B71CAF" w:rsidP="001337F5">
      <w:pPr>
        <w:pStyle w:val="Text1"/>
        <w:spacing w:after="0"/>
        <w:ind w:left="0"/>
        <w:rPr>
          <w:kern w:val="32"/>
          <w:sz w:val="22"/>
        </w:rPr>
      </w:pPr>
    </w:p>
    <w:p w:rsidR="00B71CAF" w:rsidRPr="00C35EB6" w:rsidRDefault="00B71CAF" w:rsidP="001337F5">
      <w:pPr>
        <w:pStyle w:val="Text1"/>
        <w:spacing w:after="0"/>
        <w:ind w:left="0"/>
        <w:rPr>
          <w:sz w:val="22"/>
          <w:szCs w:val="22"/>
        </w:rPr>
      </w:pPr>
    </w:p>
    <w:p w:rsidR="00B71CAF" w:rsidRPr="00C35EB6" w:rsidRDefault="002A1B85" w:rsidP="00B71CAF">
      <w:pPr>
        <w:suppressAutoHyphens/>
        <w:jc w:val="both"/>
        <w:rPr>
          <w:b/>
          <w:smallCaps/>
          <w:sz w:val="22"/>
          <w:szCs w:val="20"/>
        </w:rPr>
      </w:pPr>
      <w:r>
        <w:rPr>
          <w:b/>
          <w:smallCaps/>
          <w:sz w:val="22"/>
          <w:szCs w:val="20"/>
        </w:rPr>
        <w:t>5.</w:t>
      </w:r>
      <w:r>
        <w:rPr>
          <w:b/>
          <w:smallCaps/>
          <w:sz w:val="22"/>
          <w:szCs w:val="20"/>
        </w:rPr>
        <w:tab/>
      </w:r>
      <w:r w:rsidR="00B71CAF" w:rsidRPr="00C35EB6">
        <w:rPr>
          <w:b/>
          <w:smallCaps/>
          <w:sz w:val="22"/>
          <w:szCs w:val="20"/>
        </w:rPr>
        <w:t xml:space="preserve"> </w:t>
      </w:r>
      <w:proofErr w:type="spellStart"/>
      <w:proofErr w:type="gramStart"/>
      <w:r>
        <w:rPr>
          <w:b/>
          <w:smallCaps/>
          <w:sz w:val="22"/>
          <w:szCs w:val="20"/>
        </w:rPr>
        <w:t>orçamento</w:t>
      </w:r>
      <w:proofErr w:type="spellEnd"/>
      <w:proofErr w:type="gramEnd"/>
    </w:p>
    <w:p w:rsidR="00B71CAF" w:rsidRPr="00C35EB6" w:rsidRDefault="00B71CAF" w:rsidP="00B71CAF">
      <w:pPr>
        <w:suppressAutoHyphens/>
        <w:jc w:val="both"/>
        <w:rPr>
          <w:b/>
          <w:smallCaps/>
          <w:sz w:val="22"/>
          <w:szCs w:val="20"/>
        </w:rPr>
      </w:pPr>
    </w:p>
    <w:p w:rsidR="00B71CAF" w:rsidRPr="00C35EB6" w:rsidRDefault="00B71CAF" w:rsidP="00B71CAF">
      <w:pPr>
        <w:suppressAutoHyphens/>
        <w:jc w:val="both"/>
        <w:rPr>
          <w:spacing w:val="-3"/>
          <w:sz w:val="22"/>
          <w:szCs w:val="22"/>
        </w:rPr>
      </w:pPr>
      <w:r w:rsidRPr="00C35EB6">
        <w:rPr>
          <w:spacing w:val="-3"/>
          <w:sz w:val="22"/>
        </w:rPr>
        <w:t xml:space="preserve">O orçamento total disponível é de 1 milhão de euros. </w:t>
      </w:r>
    </w:p>
    <w:p w:rsidR="00B71CAF" w:rsidRPr="00C35EB6" w:rsidRDefault="00B71CAF" w:rsidP="00B71CAF">
      <w:pPr>
        <w:suppressAutoHyphens/>
        <w:jc w:val="both"/>
        <w:rPr>
          <w:spacing w:val="-3"/>
          <w:sz w:val="22"/>
          <w:szCs w:val="22"/>
        </w:rPr>
      </w:pPr>
    </w:p>
    <w:p w:rsidR="00B71CAF" w:rsidRPr="00C35EB6" w:rsidRDefault="00B71CAF" w:rsidP="00B71CAF">
      <w:pPr>
        <w:jc w:val="both"/>
        <w:rPr>
          <w:rFonts w:eastAsia="Arial Unicode MS"/>
          <w:sz w:val="22"/>
          <w:szCs w:val="22"/>
        </w:rPr>
      </w:pPr>
      <w:r w:rsidRPr="00C35EB6">
        <w:rPr>
          <w:rFonts w:eastAsia="Arial Unicode MS"/>
          <w:sz w:val="22"/>
          <w:szCs w:val="22"/>
        </w:rPr>
        <w:t>A participação financeira da União não pode exceder 8</w:t>
      </w:r>
      <w:r w:rsidR="00C35EB6" w:rsidRPr="00C35EB6">
        <w:rPr>
          <w:rFonts w:eastAsia="Arial Unicode MS"/>
          <w:sz w:val="22"/>
          <w:szCs w:val="22"/>
        </w:rPr>
        <w:t>0</w:t>
      </w:r>
      <w:r w:rsidRPr="00C35EB6">
        <w:rPr>
          <w:rFonts w:eastAsia="Arial Unicode MS"/>
          <w:sz w:val="22"/>
          <w:szCs w:val="22"/>
        </w:rPr>
        <w:t xml:space="preserve">% dos custos elegíveis totais da ação. </w:t>
      </w:r>
    </w:p>
    <w:p w:rsidR="00B71CAF" w:rsidRPr="00C35EB6" w:rsidRDefault="00B71CAF" w:rsidP="00B71CAF">
      <w:pPr>
        <w:jc w:val="both"/>
        <w:rPr>
          <w:rFonts w:eastAsia="Arial Unicode MS"/>
          <w:sz w:val="22"/>
          <w:szCs w:val="22"/>
        </w:rPr>
      </w:pPr>
    </w:p>
    <w:p w:rsidR="00B71CAF" w:rsidRPr="00C35EB6" w:rsidRDefault="00B71CAF" w:rsidP="00B71CAF">
      <w:pPr>
        <w:keepNext/>
        <w:spacing w:before="240" w:after="240"/>
        <w:jc w:val="both"/>
        <w:outlineLvl w:val="0"/>
        <w:rPr>
          <w:b/>
          <w:smallCaps/>
          <w:sz w:val="22"/>
          <w:szCs w:val="22"/>
          <w:lang w:eastAsia="en-US" w:bidi="ar-SA"/>
        </w:rPr>
      </w:pPr>
      <w:r w:rsidRPr="00C35EB6">
        <w:rPr>
          <w:b/>
          <w:smallCaps/>
          <w:sz w:val="22"/>
          <w:szCs w:val="22"/>
          <w:lang w:eastAsia="en-US" w:bidi="ar-SA"/>
        </w:rPr>
        <w:t>6.</w:t>
      </w:r>
      <w:r w:rsidRPr="00C35EB6">
        <w:rPr>
          <w:b/>
          <w:smallCaps/>
          <w:sz w:val="22"/>
          <w:szCs w:val="22"/>
          <w:lang w:eastAsia="en-US" w:bidi="ar-SA"/>
        </w:rPr>
        <w:tab/>
        <w:t>Prazo para apresentação de candidaturas</w:t>
      </w:r>
    </w:p>
    <w:p w:rsidR="00B71CAF" w:rsidRPr="00C35EB6" w:rsidRDefault="00B71CAF" w:rsidP="00B71CAF">
      <w:pPr>
        <w:autoSpaceDE w:val="0"/>
        <w:autoSpaceDN w:val="0"/>
        <w:adjustRightInd w:val="0"/>
        <w:spacing w:after="60" w:line="276" w:lineRule="auto"/>
        <w:jc w:val="both"/>
        <w:rPr>
          <w:bCs/>
          <w:sz w:val="22"/>
          <w:szCs w:val="22"/>
        </w:rPr>
      </w:pPr>
      <w:r w:rsidRPr="00C35EB6">
        <w:rPr>
          <w:sz w:val="22"/>
        </w:rPr>
        <w:t xml:space="preserve">As candidaturas devem ser enviadas, o mais tardar, até </w:t>
      </w:r>
      <w:r w:rsidRPr="00C35EB6">
        <w:rPr>
          <w:b/>
          <w:sz w:val="22"/>
        </w:rPr>
        <w:t>07.03.2019, às 12h00</w:t>
      </w:r>
      <w:r w:rsidRPr="00C35EB6">
        <w:rPr>
          <w:sz w:val="22"/>
        </w:rPr>
        <w:t xml:space="preserve"> (meio-dia, hora de Bruxelas), utilizando o formulário de candidatura em linha (</w:t>
      </w:r>
      <w:proofErr w:type="spellStart"/>
      <w:r w:rsidRPr="00C35EB6">
        <w:rPr>
          <w:sz w:val="22"/>
        </w:rPr>
        <w:t>eForm</w:t>
      </w:r>
      <w:proofErr w:type="spellEnd"/>
      <w:r w:rsidRPr="00C35EB6">
        <w:rPr>
          <w:sz w:val="22"/>
        </w:rPr>
        <w:t xml:space="preserve">). </w:t>
      </w:r>
      <w:r w:rsidRPr="00C35EB6">
        <w:rPr>
          <w:bCs/>
          <w:sz w:val="22"/>
          <w:szCs w:val="22"/>
        </w:rPr>
        <w:t xml:space="preserve">Não será aceite qualquer outro método de apresentação de candidaturas. </w:t>
      </w:r>
    </w:p>
    <w:p w:rsidR="00E27EAE" w:rsidRPr="00C35EB6" w:rsidRDefault="00B71CAF" w:rsidP="00B71CAF">
      <w:pPr>
        <w:autoSpaceDE w:val="0"/>
        <w:autoSpaceDN w:val="0"/>
        <w:adjustRightInd w:val="0"/>
        <w:spacing w:after="60" w:line="276" w:lineRule="auto"/>
        <w:jc w:val="both"/>
        <w:rPr>
          <w:bCs/>
          <w:sz w:val="22"/>
          <w:szCs w:val="22"/>
        </w:rPr>
      </w:pPr>
      <w:r w:rsidRPr="00C35EB6">
        <w:rPr>
          <w:bCs/>
          <w:sz w:val="22"/>
          <w:szCs w:val="22"/>
        </w:rPr>
        <w:t>Os candidatos devem garantir que as candidaturas incluem todos os documentos solicitados e mencionados nos formulários em linha</w:t>
      </w:r>
      <w:r w:rsidR="00C35EB6" w:rsidRPr="00C35EB6">
        <w:rPr>
          <w:sz w:val="22"/>
        </w:rPr>
        <w:t>.</w:t>
      </w:r>
    </w:p>
    <w:p w:rsidR="0048665C" w:rsidRPr="002A1B85" w:rsidRDefault="002A1B85" w:rsidP="002A1B85">
      <w:pPr>
        <w:pStyle w:val="Heading1"/>
        <w:numPr>
          <w:ilvl w:val="0"/>
          <w:numId w:val="14"/>
        </w:numPr>
        <w:rPr>
          <w:sz w:val="22"/>
          <w:szCs w:val="22"/>
        </w:rPr>
      </w:pPr>
      <w:r>
        <w:rPr>
          <w:sz w:val="22"/>
        </w:rPr>
        <w:t>info</w:t>
      </w:r>
      <w:bookmarkStart w:id="0" w:name="_GoBack"/>
      <w:bookmarkEnd w:id="0"/>
      <w:r>
        <w:rPr>
          <w:sz w:val="22"/>
        </w:rPr>
        <w:t>rmações completas</w:t>
      </w:r>
    </w:p>
    <w:p w:rsidR="00D55C5E" w:rsidRPr="00C35EB6" w:rsidRDefault="00B71CAF" w:rsidP="0048665C">
      <w:pPr>
        <w:pStyle w:val="Text1"/>
        <w:ind w:left="0"/>
        <w:rPr>
          <w:sz w:val="22"/>
          <w:szCs w:val="22"/>
        </w:rPr>
      </w:pPr>
      <w:r w:rsidRPr="00C35EB6">
        <w:rPr>
          <w:sz w:val="22"/>
          <w:szCs w:val="22"/>
          <w:lang w:eastAsia="en-US" w:bidi="ar-SA"/>
        </w:rPr>
        <w:t>O texto integral das orientações e os formulários de candidatura estão disponíveis no seguinte endereço Internet</w:t>
      </w:r>
      <w:r w:rsidR="00C35EB6" w:rsidRPr="00C35EB6">
        <w:rPr>
          <w:sz w:val="22"/>
        </w:rPr>
        <w:t>:</w:t>
      </w:r>
    </w:p>
    <w:p w:rsidR="00C3529D" w:rsidRPr="002A1B85" w:rsidRDefault="002A1B85" w:rsidP="00DA688A">
      <w:pPr>
        <w:spacing w:after="100" w:afterAutospacing="1"/>
        <w:rPr>
          <w:rFonts w:eastAsia="Calibri"/>
          <w:sz w:val="22"/>
          <w:szCs w:val="22"/>
        </w:rPr>
      </w:pPr>
      <w:hyperlink r:id="rId11" w:history="1">
        <w:r w:rsidR="00C35EB6" w:rsidRPr="002A1B85">
          <w:rPr>
            <w:rStyle w:val="Hyperlink"/>
            <w:color w:val="auto"/>
            <w:sz w:val="22"/>
          </w:rPr>
          <w:t>https://eacea.ec.europa.eu/creative-europe/funding/support-for-film-education-2019_en</w:t>
        </w:r>
      </w:hyperlink>
    </w:p>
    <w:p w:rsidR="00DA688A" w:rsidRPr="002A1B85" w:rsidRDefault="00DA688A" w:rsidP="00DA688A">
      <w:pPr>
        <w:pStyle w:val="Text1"/>
        <w:spacing w:after="100" w:afterAutospacing="1"/>
        <w:ind w:left="0"/>
        <w:rPr>
          <w:sz w:val="22"/>
          <w:szCs w:val="22"/>
        </w:rPr>
      </w:pPr>
    </w:p>
    <w:p w:rsidR="00B71CAF" w:rsidRPr="00D21650" w:rsidRDefault="00B71CAF" w:rsidP="00B71CAF">
      <w:pPr>
        <w:pStyle w:val="Text1"/>
        <w:ind w:left="0"/>
        <w:rPr>
          <w:sz w:val="22"/>
          <w:szCs w:val="22"/>
        </w:rPr>
      </w:pPr>
      <w:r w:rsidRPr="00C35EB6">
        <w:rPr>
          <w:sz w:val="22"/>
          <w:szCs w:val="22"/>
        </w:rPr>
        <w:t>As candidaturas devem respeitar todas as condições especificadas nas orientações e ser apresentadas utilizando os formulários em linha disponibilizados para o efeito.</w:t>
      </w:r>
    </w:p>
    <w:p w:rsidR="0096458A" w:rsidRPr="00B71CAF" w:rsidRDefault="0096458A" w:rsidP="00DA688A">
      <w:pPr>
        <w:pStyle w:val="Text1"/>
        <w:spacing w:after="100" w:afterAutospacing="1"/>
        <w:ind w:left="0"/>
        <w:rPr>
          <w:sz w:val="22"/>
          <w:szCs w:val="22"/>
        </w:rPr>
      </w:pPr>
    </w:p>
    <w:p w:rsidR="003A3F2C" w:rsidRPr="00B71CAF" w:rsidRDefault="003A3F2C" w:rsidP="0096458A">
      <w:pPr>
        <w:tabs>
          <w:tab w:val="left" w:pos="360"/>
        </w:tabs>
        <w:suppressAutoHyphens/>
        <w:jc w:val="both"/>
        <w:rPr>
          <w:sz w:val="22"/>
          <w:szCs w:val="22"/>
        </w:rPr>
      </w:pPr>
    </w:p>
    <w:sectPr w:rsidR="003A3F2C" w:rsidRPr="00B71CAF"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AC0" w:rsidRDefault="00C35EB6">
      <w:r>
        <w:separator/>
      </w:r>
    </w:p>
  </w:endnote>
  <w:endnote w:type="continuationSeparator" w:id="0">
    <w:p w:rsidR="00432AC0" w:rsidRDefault="00C35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C35EB6">
    <w:pPr>
      <w:pStyle w:val="Footer"/>
      <w:jc w:val="center"/>
    </w:pPr>
    <w:r>
      <w:fldChar w:fldCharType="begin"/>
    </w:r>
    <w:r>
      <w:instrText>PAGE</w:instrText>
    </w:r>
    <w:r>
      <w:fldChar w:fldCharType="separate"/>
    </w:r>
    <w:r w:rsidR="002A1B85">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730" w:rsidRDefault="00C35EB6">
      <w:r>
        <w:separator/>
      </w:r>
    </w:p>
  </w:footnote>
  <w:footnote w:type="continuationSeparator" w:id="0">
    <w:p w:rsidR="00174730" w:rsidRDefault="00C35EB6">
      <w:r>
        <w:continuationSeparator/>
      </w:r>
    </w:p>
  </w:footnote>
  <w:footnote w:id="1">
    <w:p w:rsidR="004015B3" w:rsidRPr="00385E9B" w:rsidRDefault="004015B3" w:rsidP="004015B3">
      <w:pPr>
        <w:pStyle w:val="FootnoteText"/>
      </w:pPr>
      <w:r>
        <w:rPr>
          <w:rStyle w:val="FootnoteReference"/>
        </w:rPr>
        <w:footnoteRef/>
      </w:r>
      <w:r w:rsidRPr="00385E9B">
        <w:t xml:space="preserve"> REGULAMENTO (UE) N. o 1295/2013, Jornal Oficial da União Europeia de 20/12/2013, (JO L347/221)</w:t>
      </w:r>
    </w:p>
  </w:footnote>
  <w:footnote w:id="2">
    <w:p w:rsidR="004015B3" w:rsidRPr="00385E9B" w:rsidRDefault="004015B3" w:rsidP="004015B3">
      <w:pPr>
        <w:pStyle w:val="FootnoteText"/>
      </w:pPr>
      <w:r>
        <w:rPr>
          <w:rStyle w:val="FootnoteReference"/>
        </w:rPr>
        <w:footnoteRef/>
      </w:r>
      <w:r w:rsidRPr="00385E9B">
        <w:t xml:space="preserve"> Publicada no Jornal Oficial da União Europeia de 27/06/2014 (JO L 189/260).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910ACFDA"/>
    <w:lvl w:ilvl="0">
      <w:start w:val="1"/>
      <w:numFmt w:val="decimal"/>
      <w:pStyle w:val="Heading1"/>
      <w:lvlText w:val="%1."/>
      <w:lvlJc w:val="left"/>
      <w:pPr>
        <w:tabs>
          <w:tab w:val="num" w:pos="480"/>
        </w:tabs>
        <w:ind w:left="480" w:hanging="480"/>
      </w:pPr>
      <w:rPr>
        <w:rFonts w:hint="default"/>
      </w:rPr>
    </w:lvl>
    <w:lvl w:ilvl="1">
      <w:start w:val="1"/>
      <w:numFmt w:val="decimal"/>
      <w:pStyle w:val="Heading2"/>
      <w:lvlText w:val="%1.%2."/>
      <w:lvlJc w:val="left"/>
      <w:pPr>
        <w:tabs>
          <w:tab w:val="num" w:pos="1200"/>
        </w:tabs>
        <w:ind w:left="120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81D18DB"/>
    <w:multiLevelType w:val="hybridMultilevel"/>
    <w:tmpl w:val="E752C2B8"/>
    <w:lvl w:ilvl="0" w:tplc="12E43B20">
      <w:start w:val="1"/>
      <w:numFmt w:val="bullet"/>
      <w:lvlText w:val=""/>
      <w:lvlJc w:val="left"/>
      <w:pPr>
        <w:ind w:left="720" w:hanging="360"/>
      </w:pPr>
      <w:rPr>
        <w:rFonts w:ascii="Symbol" w:hAnsi="Symbol" w:hint="default"/>
      </w:rPr>
    </w:lvl>
    <w:lvl w:ilvl="1" w:tplc="AF76F372" w:tentative="1">
      <w:start w:val="1"/>
      <w:numFmt w:val="bullet"/>
      <w:lvlText w:val="o"/>
      <w:lvlJc w:val="left"/>
      <w:pPr>
        <w:ind w:left="1440" w:hanging="360"/>
      </w:pPr>
      <w:rPr>
        <w:rFonts w:ascii="Courier New" w:hAnsi="Courier New" w:cs="Courier New" w:hint="default"/>
      </w:rPr>
    </w:lvl>
    <w:lvl w:ilvl="2" w:tplc="031EDD2A" w:tentative="1">
      <w:start w:val="1"/>
      <w:numFmt w:val="bullet"/>
      <w:lvlText w:val=""/>
      <w:lvlJc w:val="left"/>
      <w:pPr>
        <w:ind w:left="2160" w:hanging="360"/>
      </w:pPr>
      <w:rPr>
        <w:rFonts w:ascii="Wingdings" w:hAnsi="Wingdings" w:hint="default"/>
      </w:rPr>
    </w:lvl>
    <w:lvl w:ilvl="3" w:tplc="43A8103E" w:tentative="1">
      <w:start w:val="1"/>
      <w:numFmt w:val="bullet"/>
      <w:lvlText w:val=""/>
      <w:lvlJc w:val="left"/>
      <w:pPr>
        <w:ind w:left="2880" w:hanging="360"/>
      </w:pPr>
      <w:rPr>
        <w:rFonts w:ascii="Symbol" w:hAnsi="Symbol" w:hint="default"/>
      </w:rPr>
    </w:lvl>
    <w:lvl w:ilvl="4" w:tplc="8D6CF0C8" w:tentative="1">
      <w:start w:val="1"/>
      <w:numFmt w:val="bullet"/>
      <w:lvlText w:val="o"/>
      <w:lvlJc w:val="left"/>
      <w:pPr>
        <w:ind w:left="3600" w:hanging="360"/>
      </w:pPr>
      <w:rPr>
        <w:rFonts w:ascii="Courier New" w:hAnsi="Courier New" w:cs="Courier New" w:hint="default"/>
      </w:rPr>
    </w:lvl>
    <w:lvl w:ilvl="5" w:tplc="CD0A8B0C" w:tentative="1">
      <w:start w:val="1"/>
      <w:numFmt w:val="bullet"/>
      <w:lvlText w:val=""/>
      <w:lvlJc w:val="left"/>
      <w:pPr>
        <w:ind w:left="4320" w:hanging="360"/>
      </w:pPr>
      <w:rPr>
        <w:rFonts w:ascii="Wingdings" w:hAnsi="Wingdings" w:hint="default"/>
      </w:rPr>
    </w:lvl>
    <w:lvl w:ilvl="6" w:tplc="F564C4BE" w:tentative="1">
      <w:start w:val="1"/>
      <w:numFmt w:val="bullet"/>
      <w:lvlText w:val=""/>
      <w:lvlJc w:val="left"/>
      <w:pPr>
        <w:ind w:left="5040" w:hanging="360"/>
      </w:pPr>
      <w:rPr>
        <w:rFonts w:ascii="Symbol" w:hAnsi="Symbol" w:hint="default"/>
      </w:rPr>
    </w:lvl>
    <w:lvl w:ilvl="7" w:tplc="3D3815CC" w:tentative="1">
      <w:start w:val="1"/>
      <w:numFmt w:val="bullet"/>
      <w:lvlText w:val="o"/>
      <w:lvlJc w:val="left"/>
      <w:pPr>
        <w:ind w:left="5760" w:hanging="360"/>
      </w:pPr>
      <w:rPr>
        <w:rFonts w:ascii="Courier New" w:hAnsi="Courier New" w:cs="Courier New" w:hint="default"/>
      </w:rPr>
    </w:lvl>
    <w:lvl w:ilvl="8" w:tplc="BC3CD862"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12883FA0">
      <w:numFmt w:val="bullet"/>
      <w:lvlText w:val="−"/>
      <w:lvlJc w:val="left"/>
      <w:pPr>
        <w:ind w:left="1440" w:hanging="360"/>
      </w:pPr>
      <w:rPr>
        <w:rFonts w:ascii="Times" w:eastAsia="Times New Roman" w:hAnsi="Times" w:cs="Times New Roman" w:hint="default"/>
      </w:rPr>
    </w:lvl>
    <w:lvl w:ilvl="1" w:tplc="6BE83BA6">
      <w:start w:val="1"/>
      <w:numFmt w:val="bullet"/>
      <w:lvlText w:val="o"/>
      <w:lvlJc w:val="left"/>
      <w:pPr>
        <w:ind w:left="2160" w:hanging="360"/>
      </w:pPr>
      <w:rPr>
        <w:rFonts w:ascii="Courier New" w:hAnsi="Courier New" w:cs="Times New Roman" w:hint="default"/>
      </w:rPr>
    </w:lvl>
    <w:lvl w:ilvl="2" w:tplc="DC0C4C08">
      <w:start w:val="1"/>
      <w:numFmt w:val="bullet"/>
      <w:lvlText w:val=""/>
      <w:lvlJc w:val="left"/>
      <w:pPr>
        <w:ind w:left="2880" w:hanging="360"/>
      </w:pPr>
      <w:rPr>
        <w:rFonts w:ascii="Wingdings" w:hAnsi="Wingdings" w:hint="default"/>
      </w:rPr>
    </w:lvl>
    <w:lvl w:ilvl="3" w:tplc="290E5540">
      <w:start w:val="1"/>
      <w:numFmt w:val="bullet"/>
      <w:lvlText w:val=""/>
      <w:lvlJc w:val="left"/>
      <w:pPr>
        <w:ind w:left="3600" w:hanging="360"/>
      </w:pPr>
      <w:rPr>
        <w:rFonts w:ascii="Symbol" w:hAnsi="Symbol" w:hint="default"/>
      </w:rPr>
    </w:lvl>
    <w:lvl w:ilvl="4" w:tplc="04C8E65E">
      <w:start w:val="1"/>
      <w:numFmt w:val="bullet"/>
      <w:lvlText w:val="o"/>
      <w:lvlJc w:val="left"/>
      <w:pPr>
        <w:ind w:left="4320" w:hanging="360"/>
      </w:pPr>
      <w:rPr>
        <w:rFonts w:ascii="Courier New" w:hAnsi="Courier New" w:cs="Times New Roman" w:hint="default"/>
      </w:rPr>
    </w:lvl>
    <w:lvl w:ilvl="5" w:tplc="32EA82BC">
      <w:start w:val="1"/>
      <w:numFmt w:val="bullet"/>
      <w:lvlText w:val=""/>
      <w:lvlJc w:val="left"/>
      <w:pPr>
        <w:ind w:left="5040" w:hanging="360"/>
      </w:pPr>
      <w:rPr>
        <w:rFonts w:ascii="Wingdings" w:hAnsi="Wingdings" w:hint="default"/>
      </w:rPr>
    </w:lvl>
    <w:lvl w:ilvl="6" w:tplc="0E58C542">
      <w:start w:val="1"/>
      <w:numFmt w:val="bullet"/>
      <w:lvlText w:val=""/>
      <w:lvlJc w:val="left"/>
      <w:pPr>
        <w:ind w:left="5760" w:hanging="360"/>
      </w:pPr>
      <w:rPr>
        <w:rFonts w:ascii="Symbol" w:hAnsi="Symbol" w:hint="default"/>
      </w:rPr>
    </w:lvl>
    <w:lvl w:ilvl="7" w:tplc="2D78DBAA">
      <w:start w:val="1"/>
      <w:numFmt w:val="bullet"/>
      <w:lvlText w:val="o"/>
      <w:lvlJc w:val="left"/>
      <w:pPr>
        <w:ind w:left="6480" w:hanging="360"/>
      </w:pPr>
      <w:rPr>
        <w:rFonts w:ascii="Courier New" w:hAnsi="Courier New" w:cs="Times New Roman" w:hint="default"/>
      </w:rPr>
    </w:lvl>
    <w:lvl w:ilvl="8" w:tplc="8FC27B0E">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9AF095B6">
      <w:start w:val="1"/>
      <w:numFmt w:val="bullet"/>
      <w:lvlText w:val=""/>
      <w:lvlJc w:val="left"/>
      <w:pPr>
        <w:tabs>
          <w:tab w:val="num" w:pos="360"/>
        </w:tabs>
        <w:ind w:left="360" w:hanging="360"/>
      </w:pPr>
      <w:rPr>
        <w:rFonts w:ascii="Symbol" w:hAnsi="Symbol" w:hint="default"/>
      </w:rPr>
    </w:lvl>
    <w:lvl w:ilvl="1" w:tplc="E0FA5F82" w:tentative="1">
      <w:start w:val="1"/>
      <w:numFmt w:val="bullet"/>
      <w:lvlText w:val="o"/>
      <w:lvlJc w:val="left"/>
      <w:pPr>
        <w:tabs>
          <w:tab w:val="num" w:pos="1080"/>
        </w:tabs>
        <w:ind w:left="1080" w:hanging="360"/>
      </w:pPr>
      <w:rPr>
        <w:rFonts w:ascii="Courier New" w:hAnsi="Courier New" w:cs="Courier New" w:hint="default"/>
      </w:rPr>
    </w:lvl>
    <w:lvl w:ilvl="2" w:tplc="7D06C6F2" w:tentative="1">
      <w:start w:val="1"/>
      <w:numFmt w:val="bullet"/>
      <w:lvlText w:val=""/>
      <w:lvlJc w:val="left"/>
      <w:pPr>
        <w:tabs>
          <w:tab w:val="num" w:pos="1800"/>
        </w:tabs>
        <w:ind w:left="1800" w:hanging="360"/>
      </w:pPr>
      <w:rPr>
        <w:rFonts w:ascii="Wingdings" w:hAnsi="Wingdings" w:hint="default"/>
      </w:rPr>
    </w:lvl>
    <w:lvl w:ilvl="3" w:tplc="C7D859A8" w:tentative="1">
      <w:start w:val="1"/>
      <w:numFmt w:val="bullet"/>
      <w:lvlText w:val=""/>
      <w:lvlJc w:val="left"/>
      <w:pPr>
        <w:tabs>
          <w:tab w:val="num" w:pos="2520"/>
        </w:tabs>
        <w:ind w:left="2520" w:hanging="360"/>
      </w:pPr>
      <w:rPr>
        <w:rFonts w:ascii="Symbol" w:hAnsi="Symbol" w:hint="default"/>
      </w:rPr>
    </w:lvl>
    <w:lvl w:ilvl="4" w:tplc="094ABAE6" w:tentative="1">
      <w:start w:val="1"/>
      <w:numFmt w:val="bullet"/>
      <w:lvlText w:val="o"/>
      <w:lvlJc w:val="left"/>
      <w:pPr>
        <w:tabs>
          <w:tab w:val="num" w:pos="3240"/>
        </w:tabs>
        <w:ind w:left="3240" w:hanging="360"/>
      </w:pPr>
      <w:rPr>
        <w:rFonts w:ascii="Courier New" w:hAnsi="Courier New" w:cs="Courier New" w:hint="default"/>
      </w:rPr>
    </w:lvl>
    <w:lvl w:ilvl="5" w:tplc="9070B8E4" w:tentative="1">
      <w:start w:val="1"/>
      <w:numFmt w:val="bullet"/>
      <w:lvlText w:val=""/>
      <w:lvlJc w:val="left"/>
      <w:pPr>
        <w:tabs>
          <w:tab w:val="num" w:pos="3960"/>
        </w:tabs>
        <w:ind w:left="3960" w:hanging="360"/>
      </w:pPr>
      <w:rPr>
        <w:rFonts w:ascii="Wingdings" w:hAnsi="Wingdings" w:hint="default"/>
      </w:rPr>
    </w:lvl>
    <w:lvl w:ilvl="6" w:tplc="93CA3EA8" w:tentative="1">
      <w:start w:val="1"/>
      <w:numFmt w:val="bullet"/>
      <w:lvlText w:val=""/>
      <w:lvlJc w:val="left"/>
      <w:pPr>
        <w:tabs>
          <w:tab w:val="num" w:pos="4680"/>
        </w:tabs>
        <w:ind w:left="4680" w:hanging="360"/>
      </w:pPr>
      <w:rPr>
        <w:rFonts w:ascii="Symbol" w:hAnsi="Symbol" w:hint="default"/>
      </w:rPr>
    </w:lvl>
    <w:lvl w:ilvl="7" w:tplc="1FE60102" w:tentative="1">
      <w:start w:val="1"/>
      <w:numFmt w:val="bullet"/>
      <w:lvlText w:val="o"/>
      <w:lvlJc w:val="left"/>
      <w:pPr>
        <w:tabs>
          <w:tab w:val="num" w:pos="5400"/>
        </w:tabs>
        <w:ind w:left="5400" w:hanging="360"/>
      </w:pPr>
      <w:rPr>
        <w:rFonts w:ascii="Courier New" w:hAnsi="Courier New" w:cs="Courier New" w:hint="default"/>
      </w:rPr>
    </w:lvl>
    <w:lvl w:ilvl="8" w:tplc="F45E64AA"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1CD2F500">
      <w:start w:val="1"/>
      <w:numFmt w:val="bullet"/>
      <w:lvlText w:val=""/>
      <w:lvlJc w:val="left"/>
      <w:pPr>
        <w:ind w:left="786" w:hanging="360"/>
      </w:pPr>
      <w:rPr>
        <w:rFonts w:ascii="Symbol" w:hAnsi="Symbol" w:hint="default"/>
      </w:rPr>
    </w:lvl>
    <w:lvl w:ilvl="1" w:tplc="9F44958C" w:tentative="1">
      <w:start w:val="1"/>
      <w:numFmt w:val="bullet"/>
      <w:lvlText w:val="o"/>
      <w:lvlJc w:val="left"/>
      <w:pPr>
        <w:ind w:left="1506" w:hanging="360"/>
      </w:pPr>
      <w:rPr>
        <w:rFonts w:ascii="Courier New" w:hAnsi="Courier New" w:cs="Courier New" w:hint="default"/>
      </w:rPr>
    </w:lvl>
    <w:lvl w:ilvl="2" w:tplc="C48E17FE" w:tentative="1">
      <w:start w:val="1"/>
      <w:numFmt w:val="bullet"/>
      <w:lvlText w:val=""/>
      <w:lvlJc w:val="left"/>
      <w:pPr>
        <w:ind w:left="2226" w:hanging="360"/>
      </w:pPr>
      <w:rPr>
        <w:rFonts w:ascii="Wingdings" w:hAnsi="Wingdings" w:hint="default"/>
      </w:rPr>
    </w:lvl>
    <w:lvl w:ilvl="3" w:tplc="CA9414AC" w:tentative="1">
      <w:start w:val="1"/>
      <w:numFmt w:val="bullet"/>
      <w:lvlText w:val=""/>
      <w:lvlJc w:val="left"/>
      <w:pPr>
        <w:ind w:left="2946" w:hanging="360"/>
      </w:pPr>
      <w:rPr>
        <w:rFonts w:ascii="Symbol" w:hAnsi="Symbol" w:hint="default"/>
      </w:rPr>
    </w:lvl>
    <w:lvl w:ilvl="4" w:tplc="7F2AF800" w:tentative="1">
      <w:start w:val="1"/>
      <w:numFmt w:val="bullet"/>
      <w:lvlText w:val="o"/>
      <w:lvlJc w:val="left"/>
      <w:pPr>
        <w:ind w:left="3666" w:hanging="360"/>
      </w:pPr>
      <w:rPr>
        <w:rFonts w:ascii="Courier New" w:hAnsi="Courier New" w:cs="Courier New" w:hint="default"/>
      </w:rPr>
    </w:lvl>
    <w:lvl w:ilvl="5" w:tplc="A5146B70" w:tentative="1">
      <w:start w:val="1"/>
      <w:numFmt w:val="bullet"/>
      <w:lvlText w:val=""/>
      <w:lvlJc w:val="left"/>
      <w:pPr>
        <w:ind w:left="4386" w:hanging="360"/>
      </w:pPr>
      <w:rPr>
        <w:rFonts w:ascii="Wingdings" w:hAnsi="Wingdings" w:hint="default"/>
      </w:rPr>
    </w:lvl>
    <w:lvl w:ilvl="6" w:tplc="24FEA60C" w:tentative="1">
      <w:start w:val="1"/>
      <w:numFmt w:val="bullet"/>
      <w:lvlText w:val=""/>
      <w:lvlJc w:val="left"/>
      <w:pPr>
        <w:ind w:left="5106" w:hanging="360"/>
      </w:pPr>
      <w:rPr>
        <w:rFonts w:ascii="Symbol" w:hAnsi="Symbol" w:hint="default"/>
      </w:rPr>
    </w:lvl>
    <w:lvl w:ilvl="7" w:tplc="B546EF9A" w:tentative="1">
      <w:start w:val="1"/>
      <w:numFmt w:val="bullet"/>
      <w:lvlText w:val="o"/>
      <w:lvlJc w:val="left"/>
      <w:pPr>
        <w:ind w:left="5826" w:hanging="360"/>
      </w:pPr>
      <w:rPr>
        <w:rFonts w:ascii="Courier New" w:hAnsi="Courier New" w:cs="Courier New" w:hint="default"/>
      </w:rPr>
    </w:lvl>
    <w:lvl w:ilvl="8" w:tplc="8E40D382"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7EE458D6">
      <w:numFmt w:val="bullet"/>
      <w:lvlText w:val="-"/>
      <w:lvlJc w:val="left"/>
      <w:pPr>
        <w:ind w:left="720" w:hanging="360"/>
      </w:pPr>
      <w:rPr>
        <w:rFonts w:ascii="Arial" w:eastAsia="Times New Roman" w:hAnsi="Arial" w:cs="Arial" w:hint="default"/>
      </w:rPr>
    </w:lvl>
    <w:lvl w:ilvl="1" w:tplc="6AE68E7C">
      <w:start w:val="1"/>
      <w:numFmt w:val="bullet"/>
      <w:lvlText w:val=""/>
      <w:lvlJc w:val="left"/>
      <w:pPr>
        <w:ind w:left="1440" w:hanging="360"/>
      </w:pPr>
      <w:rPr>
        <w:rFonts w:ascii="Symbol" w:hAnsi="Symbol" w:hint="default"/>
      </w:rPr>
    </w:lvl>
    <w:lvl w:ilvl="2" w:tplc="CC1E237E" w:tentative="1">
      <w:start w:val="1"/>
      <w:numFmt w:val="bullet"/>
      <w:lvlText w:val=""/>
      <w:lvlJc w:val="left"/>
      <w:pPr>
        <w:ind w:left="2160" w:hanging="360"/>
      </w:pPr>
      <w:rPr>
        <w:rFonts w:ascii="Wingdings" w:hAnsi="Wingdings" w:hint="default"/>
      </w:rPr>
    </w:lvl>
    <w:lvl w:ilvl="3" w:tplc="1FC07912" w:tentative="1">
      <w:start w:val="1"/>
      <w:numFmt w:val="bullet"/>
      <w:lvlText w:val=""/>
      <w:lvlJc w:val="left"/>
      <w:pPr>
        <w:ind w:left="2880" w:hanging="360"/>
      </w:pPr>
      <w:rPr>
        <w:rFonts w:ascii="Symbol" w:hAnsi="Symbol" w:hint="default"/>
      </w:rPr>
    </w:lvl>
    <w:lvl w:ilvl="4" w:tplc="37C0412A" w:tentative="1">
      <w:start w:val="1"/>
      <w:numFmt w:val="bullet"/>
      <w:lvlText w:val="o"/>
      <w:lvlJc w:val="left"/>
      <w:pPr>
        <w:ind w:left="3600" w:hanging="360"/>
      </w:pPr>
      <w:rPr>
        <w:rFonts w:ascii="Courier New" w:hAnsi="Courier New" w:cs="Courier New" w:hint="default"/>
      </w:rPr>
    </w:lvl>
    <w:lvl w:ilvl="5" w:tplc="3FD2B358" w:tentative="1">
      <w:start w:val="1"/>
      <w:numFmt w:val="bullet"/>
      <w:lvlText w:val=""/>
      <w:lvlJc w:val="left"/>
      <w:pPr>
        <w:ind w:left="4320" w:hanging="360"/>
      </w:pPr>
      <w:rPr>
        <w:rFonts w:ascii="Wingdings" w:hAnsi="Wingdings" w:hint="default"/>
      </w:rPr>
    </w:lvl>
    <w:lvl w:ilvl="6" w:tplc="CFBAA618" w:tentative="1">
      <w:start w:val="1"/>
      <w:numFmt w:val="bullet"/>
      <w:lvlText w:val=""/>
      <w:lvlJc w:val="left"/>
      <w:pPr>
        <w:ind w:left="5040" w:hanging="360"/>
      </w:pPr>
      <w:rPr>
        <w:rFonts w:ascii="Symbol" w:hAnsi="Symbol" w:hint="default"/>
      </w:rPr>
    </w:lvl>
    <w:lvl w:ilvl="7" w:tplc="7E0CFFF8" w:tentative="1">
      <w:start w:val="1"/>
      <w:numFmt w:val="bullet"/>
      <w:lvlText w:val="o"/>
      <w:lvlJc w:val="left"/>
      <w:pPr>
        <w:ind w:left="5760" w:hanging="360"/>
      </w:pPr>
      <w:rPr>
        <w:rFonts w:ascii="Courier New" w:hAnsi="Courier New" w:cs="Courier New" w:hint="default"/>
      </w:rPr>
    </w:lvl>
    <w:lvl w:ilvl="8" w:tplc="87B6CEF2"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4DAE7472">
      <w:start w:val="1"/>
      <w:numFmt w:val="bullet"/>
      <w:lvlText w:val=""/>
      <w:lvlJc w:val="left"/>
      <w:pPr>
        <w:tabs>
          <w:tab w:val="num" w:pos="360"/>
        </w:tabs>
        <w:ind w:left="360" w:hanging="360"/>
      </w:pPr>
      <w:rPr>
        <w:rFonts w:ascii="Symbol" w:hAnsi="Symbol" w:hint="default"/>
      </w:rPr>
    </w:lvl>
    <w:lvl w:ilvl="1" w:tplc="BA5CF87C" w:tentative="1">
      <w:start w:val="1"/>
      <w:numFmt w:val="bullet"/>
      <w:lvlText w:val="o"/>
      <w:lvlJc w:val="left"/>
      <w:pPr>
        <w:tabs>
          <w:tab w:val="num" w:pos="1080"/>
        </w:tabs>
        <w:ind w:left="1080" w:hanging="360"/>
      </w:pPr>
      <w:rPr>
        <w:rFonts w:ascii="Courier New" w:hAnsi="Courier New" w:cs="Courier New" w:hint="default"/>
      </w:rPr>
    </w:lvl>
    <w:lvl w:ilvl="2" w:tplc="571A0246" w:tentative="1">
      <w:start w:val="1"/>
      <w:numFmt w:val="bullet"/>
      <w:lvlText w:val=""/>
      <w:lvlJc w:val="left"/>
      <w:pPr>
        <w:tabs>
          <w:tab w:val="num" w:pos="1800"/>
        </w:tabs>
        <w:ind w:left="1800" w:hanging="360"/>
      </w:pPr>
      <w:rPr>
        <w:rFonts w:ascii="Wingdings" w:hAnsi="Wingdings" w:hint="default"/>
      </w:rPr>
    </w:lvl>
    <w:lvl w:ilvl="3" w:tplc="A23E9C2C" w:tentative="1">
      <w:start w:val="1"/>
      <w:numFmt w:val="bullet"/>
      <w:lvlText w:val=""/>
      <w:lvlJc w:val="left"/>
      <w:pPr>
        <w:tabs>
          <w:tab w:val="num" w:pos="2520"/>
        </w:tabs>
        <w:ind w:left="2520" w:hanging="360"/>
      </w:pPr>
      <w:rPr>
        <w:rFonts w:ascii="Symbol" w:hAnsi="Symbol" w:hint="default"/>
      </w:rPr>
    </w:lvl>
    <w:lvl w:ilvl="4" w:tplc="C4B8537A" w:tentative="1">
      <w:start w:val="1"/>
      <w:numFmt w:val="bullet"/>
      <w:lvlText w:val="o"/>
      <w:lvlJc w:val="left"/>
      <w:pPr>
        <w:tabs>
          <w:tab w:val="num" w:pos="3240"/>
        </w:tabs>
        <w:ind w:left="3240" w:hanging="360"/>
      </w:pPr>
      <w:rPr>
        <w:rFonts w:ascii="Courier New" w:hAnsi="Courier New" w:cs="Courier New" w:hint="default"/>
      </w:rPr>
    </w:lvl>
    <w:lvl w:ilvl="5" w:tplc="F0D484AC" w:tentative="1">
      <w:start w:val="1"/>
      <w:numFmt w:val="bullet"/>
      <w:lvlText w:val=""/>
      <w:lvlJc w:val="left"/>
      <w:pPr>
        <w:tabs>
          <w:tab w:val="num" w:pos="3960"/>
        </w:tabs>
        <w:ind w:left="3960" w:hanging="360"/>
      </w:pPr>
      <w:rPr>
        <w:rFonts w:ascii="Wingdings" w:hAnsi="Wingdings" w:hint="default"/>
      </w:rPr>
    </w:lvl>
    <w:lvl w:ilvl="6" w:tplc="2D4E5580" w:tentative="1">
      <w:start w:val="1"/>
      <w:numFmt w:val="bullet"/>
      <w:lvlText w:val=""/>
      <w:lvlJc w:val="left"/>
      <w:pPr>
        <w:tabs>
          <w:tab w:val="num" w:pos="4680"/>
        </w:tabs>
        <w:ind w:left="4680" w:hanging="360"/>
      </w:pPr>
      <w:rPr>
        <w:rFonts w:ascii="Symbol" w:hAnsi="Symbol" w:hint="default"/>
      </w:rPr>
    </w:lvl>
    <w:lvl w:ilvl="7" w:tplc="8D043BFE" w:tentative="1">
      <w:start w:val="1"/>
      <w:numFmt w:val="bullet"/>
      <w:lvlText w:val="o"/>
      <w:lvlJc w:val="left"/>
      <w:pPr>
        <w:tabs>
          <w:tab w:val="num" w:pos="5400"/>
        </w:tabs>
        <w:ind w:left="5400" w:hanging="360"/>
      </w:pPr>
      <w:rPr>
        <w:rFonts w:ascii="Courier New" w:hAnsi="Courier New" w:cs="Courier New" w:hint="default"/>
      </w:rPr>
    </w:lvl>
    <w:lvl w:ilvl="8" w:tplc="0C428F68"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EFC618C4">
      <w:start w:val="1"/>
      <w:numFmt w:val="bullet"/>
      <w:lvlText w:val=""/>
      <w:lvlJc w:val="left"/>
      <w:pPr>
        <w:ind w:left="1080" w:hanging="360"/>
      </w:pPr>
      <w:rPr>
        <w:rFonts w:ascii="Symbol" w:hAnsi="Symbol" w:hint="default"/>
      </w:rPr>
    </w:lvl>
    <w:lvl w:ilvl="1" w:tplc="5A002CD6" w:tentative="1">
      <w:start w:val="1"/>
      <w:numFmt w:val="bullet"/>
      <w:lvlText w:val="o"/>
      <w:lvlJc w:val="left"/>
      <w:pPr>
        <w:ind w:left="1800" w:hanging="360"/>
      </w:pPr>
      <w:rPr>
        <w:rFonts w:ascii="Courier New" w:hAnsi="Courier New" w:cs="Courier New" w:hint="default"/>
      </w:rPr>
    </w:lvl>
    <w:lvl w:ilvl="2" w:tplc="96408AD0" w:tentative="1">
      <w:start w:val="1"/>
      <w:numFmt w:val="bullet"/>
      <w:lvlText w:val=""/>
      <w:lvlJc w:val="left"/>
      <w:pPr>
        <w:ind w:left="2520" w:hanging="360"/>
      </w:pPr>
      <w:rPr>
        <w:rFonts w:ascii="Wingdings" w:hAnsi="Wingdings" w:hint="default"/>
      </w:rPr>
    </w:lvl>
    <w:lvl w:ilvl="3" w:tplc="C7AEDD04" w:tentative="1">
      <w:start w:val="1"/>
      <w:numFmt w:val="bullet"/>
      <w:lvlText w:val=""/>
      <w:lvlJc w:val="left"/>
      <w:pPr>
        <w:ind w:left="3240" w:hanging="360"/>
      </w:pPr>
      <w:rPr>
        <w:rFonts w:ascii="Symbol" w:hAnsi="Symbol" w:hint="default"/>
      </w:rPr>
    </w:lvl>
    <w:lvl w:ilvl="4" w:tplc="9BE41CF0" w:tentative="1">
      <w:start w:val="1"/>
      <w:numFmt w:val="bullet"/>
      <w:lvlText w:val="o"/>
      <w:lvlJc w:val="left"/>
      <w:pPr>
        <w:ind w:left="3960" w:hanging="360"/>
      </w:pPr>
      <w:rPr>
        <w:rFonts w:ascii="Courier New" w:hAnsi="Courier New" w:cs="Courier New" w:hint="default"/>
      </w:rPr>
    </w:lvl>
    <w:lvl w:ilvl="5" w:tplc="7C180280" w:tentative="1">
      <w:start w:val="1"/>
      <w:numFmt w:val="bullet"/>
      <w:lvlText w:val=""/>
      <w:lvlJc w:val="left"/>
      <w:pPr>
        <w:ind w:left="4680" w:hanging="360"/>
      </w:pPr>
      <w:rPr>
        <w:rFonts w:ascii="Wingdings" w:hAnsi="Wingdings" w:hint="default"/>
      </w:rPr>
    </w:lvl>
    <w:lvl w:ilvl="6" w:tplc="47BA0F46" w:tentative="1">
      <w:start w:val="1"/>
      <w:numFmt w:val="bullet"/>
      <w:lvlText w:val=""/>
      <w:lvlJc w:val="left"/>
      <w:pPr>
        <w:ind w:left="5400" w:hanging="360"/>
      </w:pPr>
      <w:rPr>
        <w:rFonts w:ascii="Symbol" w:hAnsi="Symbol" w:hint="default"/>
      </w:rPr>
    </w:lvl>
    <w:lvl w:ilvl="7" w:tplc="63EA74F2" w:tentative="1">
      <w:start w:val="1"/>
      <w:numFmt w:val="bullet"/>
      <w:lvlText w:val="o"/>
      <w:lvlJc w:val="left"/>
      <w:pPr>
        <w:ind w:left="6120" w:hanging="360"/>
      </w:pPr>
      <w:rPr>
        <w:rFonts w:ascii="Courier New" w:hAnsi="Courier New" w:cs="Courier New" w:hint="default"/>
      </w:rPr>
    </w:lvl>
    <w:lvl w:ilvl="8" w:tplc="F7E24D36"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7354EA6C">
      <w:start w:val="1"/>
      <w:numFmt w:val="bullet"/>
      <w:lvlText w:val=""/>
      <w:lvlJc w:val="left"/>
      <w:pPr>
        <w:ind w:left="720" w:hanging="360"/>
      </w:pPr>
      <w:rPr>
        <w:rFonts w:ascii="Symbol" w:hAnsi="Symbol" w:hint="default"/>
      </w:rPr>
    </w:lvl>
    <w:lvl w:ilvl="1" w:tplc="DD06EFDA">
      <w:start w:val="1"/>
      <w:numFmt w:val="bullet"/>
      <w:lvlText w:val="o"/>
      <w:lvlJc w:val="left"/>
      <w:pPr>
        <w:ind w:left="1440" w:hanging="360"/>
      </w:pPr>
      <w:rPr>
        <w:rFonts w:ascii="Courier New" w:hAnsi="Courier New" w:cs="Times New Roman" w:hint="default"/>
      </w:rPr>
    </w:lvl>
    <w:lvl w:ilvl="2" w:tplc="2F3A3CD2">
      <w:start w:val="1"/>
      <w:numFmt w:val="bullet"/>
      <w:lvlText w:val=""/>
      <w:lvlJc w:val="left"/>
      <w:pPr>
        <w:ind w:left="2160" w:hanging="360"/>
      </w:pPr>
      <w:rPr>
        <w:rFonts w:ascii="Wingdings" w:hAnsi="Wingdings" w:hint="default"/>
      </w:rPr>
    </w:lvl>
    <w:lvl w:ilvl="3" w:tplc="CD0CDE38">
      <w:start w:val="1"/>
      <w:numFmt w:val="bullet"/>
      <w:lvlText w:val=""/>
      <w:lvlJc w:val="left"/>
      <w:pPr>
        <w:ind w:left="2880" w:hanging="360"/>
      </w:pPr>
      <w:rPr>
        <w:rFonts w:ascii="Symbol" w:hAnsi="Symbol" w:hint="default"/>
      </w:rPr>
    </w:lvl>
    <w:lvl w:ilvl="4" w:tplc="8C10DFDA">
      <w:start w:val="1"/>
      <w:numFmt w:val="bullet"/>
      <w:lvlText w:val="o"/>
      <w:lvlJc w:val="left"/>
      <w:pPr>
        <w:ind w:left="3600" w:hanging="360"/>
      </w:pPr>
      <w:rPr>
        <w:rFonts w:ascii="Courier New" w:hAnsi="Courier New" w:cs="Times New Roman" w:hint="default"/>
      </w:rPr>
    </w:lvl>
    <w:lvl w:ilvl="5" w:tplc="69DC76D0">
      <w:start w:val="1"/>
      <w:numFmt w:val="bullet"/>
      <w:lvlText w:val=""/>
      <w:lvlJc w:val="left"/>
      <w:pPr>
        <w:ind w:left="4320" w:hanging="360"/>
      </w:pPr>
      <w:rPr>
        <w:rFonts w:ascii="Wingdings" w:hAnsi="Wingdings" w:hint="default"/>
      </w:rPr>
    </w:lvl>
    <w:lvl w:ilvl="6" w:tplc="A4AE1B22">
      <w:start w:val="1"/>
      <w:numFmt w:val="bullet"/>
      <w:lvlText w:val=""/>
      <w:lvlJc w:val="left"/>
      <w:pPr>
        <w:ind w:left="5040" w:hanging="360"/>
      </w:pPr>
      <w:rPr>
        <w:rFonts w:ascii="Symbol" w:hAnsi="Symbol" w:hint="default"/>
      </w:rPr>
    </w:lvl>
    <w:lvl w:ilvl="7" w:tplc="6874B686">
      <w:start w:val="1"/>
      <w:numFmt w:val="bullet"/>
      <w:lvlText w:val="o"/>
      <w:lvlJc w:val="left"/>
      <w:pPr>
        <w:ind w:left="5760" w:hanging="360"/>
      </w:pPr>
      <w:rPr>
        <w:rFonts w:ascii="Courier New" w:hAnsi="Courier New" w:cs="Times New Roman" w:hint="default"/>
      </w:rPr>
    </w:lvl>
    <w:lvl w:ilvl="8" w:tplc="A1B06E5C">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 w:numId="14">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712E5"/>
    <w:rsid w:val="00087213"/>
    <w:rsid w:val="000D117E"/>
    <w:rsid w:val="000D2A53"/>
    <w:rsid w:val="000D358E"/>
    <w:rsid w:val="000D59EB"/>
    <w:rsid w:val="000F463D"/>
    <w:rsid w:val="001013E3"/>
    <w:rsid w:val="00102725"/>
    <w:rsid w:val="00103C35"/>
    <w:rsid w:val="00110CB6"/>
    <w:rsid w:val="00131FFA"/>
    <w:rsid w:val="001321C7"/>
    <w:rsid w:val="001337F5"/>
    <w:rsid w:val="001360F6"/>
    <w:rsid w:val="00140416"/>
    <w:rsid w:val="0014201D"/>
    <w:rsid w:val="001525A6"/>
    <w:rsid w:val="001619A7"/>
    <w:rsid w:val="0016754B"/>
    <w:rsid w:val="00170481"/>
    <w:rsid w:val="00174730"/>
    <w:rsid w:val="0019247B"/>
    <w:rsid w:val="001C20C1"/>
    <w:rsid w:val="001C5F4F"/>
    <w:rsid w:val="001D3A91"/>
    <w:rsid w:val="001D4CB3"/>
    <w:rsid w:val="001F6C65"/>
    <w:rsid w:val="00200B40"/>
    <w:rsid w:val="00231D21"/>
    <w:rsid w:val="002354C5"/>
    <w:rsid w:val="0024257B"/>
    <w:rsid w:val="002530EB"/>
    <w:rsid w:val="00257C3F"/>
    <w:rsid w:val="00263741"/>
    <w:rsid w:val="00265FC8"/>
    <w:rsid w:val="00274AFC"/>
    <w:rsid w:val="002770B7"/>
    <w:rsid w:val="002829E3"/>
    <w:rsid w:val="002A1B85"/>
    <w:rsid w:val="002B2FDD"/>
    <w:rsid w:val="002B5835"/>
    <w:rsid w:val="002C7CB3"/>
    <w:rsid w:val="002F184D"/>
    <w:rsid w:val="002F5B32"/>
    <w:rsid w:val="002F7522"/>
    <w:rsid w:val="00304B25"/>
    <w:rsid w:val="00316225"/>
    <w:rsid w:val="00330A1B"/>
    <w:rsid w:val="00355E87"/>
    <w:rsid w:val="00365F32"/>
    <w:rsid w:val="003665DD"/>
    <w:rsid w:val="00366E1D"/>
    <w:rsid w:val="00376C3D"/>
    <w:rsid w:val="00391C49"/>
    <w:rsid w:val="003954EC"/>
    <w:rsid w:val="003A3873"/>
    <w:rsid w:val="003A3F2C"/>
    <w:rsid w:val="003A696E"/>
    <w:rsid w:val="003B0D4C"/>
    <w:rsid w:val="003C1454"/>
    <w:rsid w:val="003D7A91"/>
    <w:rsid w:val="003E65AD"/>
    <w:rsid w:val="003F134E"/>
    <w:rsid w:val="003F31B0"/>
    <w:rsid w:val="004015B3"/>
    <w:rsid w:val="00412EDA"/>
    <w:rsid w:val="004212B4"/>
    <w:rsid w:val="00432AC0"/>
    <w:rsid w:val="00463907"/>
    <w:rsid w:val="00463A5B"/>
    <w:rsid w:val="004763FC"/>
    <w:rsid w:val="00483686"/>
    <w:rsid w:val="0048665C"/>
    <w:rsid w:val="00491101"/>
    <w:rsid w:val="004C5BE1"/>
    <w:rsid w:val="004E4528"/>
    <w:rsid w:val="004F044D"/>
    <w:rsid w:val="004F6432"/>
    <w:rsid w:val="0050746C"/>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E2D66"/>
    <w:rsid w:val="00607245"/>
    <w:rsid w:val="00607333"/>
    <w:rsid w:val="00614C33"/>
    <w:rsid w:val="00617396"/>
    <w:rsid w:val="00635F12"/>
    <w:rsid w:val="00645A25"/>
    <w:rsid w:val="006616F7"/>
    <w:rsid w:val="00665F40"/>
    <w:rsid w:val="00681362"/>
    <w:rsid w:val="0068309E"/>
    <w:rsid w:val="00685621"/>
    <w:rsid w:val="006A347D"/>
    <w:rsid w:val="006A4776"/>
    <w:rsid w:val="006D3D38"/>
    <w:rsid w:val="006E0A7B"/>
    <w:rsid w:val="006E198C"/>
    <w:rsid w:val="006F6954"/>
    <w:rsid w:val="007140B8"/>
    <w:rsid w:val="00721299"/>
    <w:rsid w:val="00750E95"/>
    <w:rsid w:val="00756DC4"/>
    <w:rsid w:val="00757599"/>
    <w:rsid w:val="007602BF"/>
    <w:rsid w:val="00762491"/>
    <w:rsid w:val="0076735E"/>
    <w:rsid w:val="00783C00"/>
    <w:rsid w:val="007B723F"/>
    <w:rsid w:val="007C3810"/>
    <w:rsid w:val="007C4BDF"/>
    <w:rsid w:val="007C5CE1"/>
    <w:rsid w:val="007D237B"/>
    <w:rsid w:val="007D33E7"/>
    <w:rsid w:val="007D365D"/>
    <w:rsid w:val="007D6F6A"/>
    <w:rsid w:val="007E0A08"/>
    <w:rsid w:val="007E4A90"/>
    <w:rsid w:val="007F0228"/>
    <w:rsid w:val="007F4444"/>
    <w:rsid w:val="007F6C1E"/>
    <w:rsid w:val="00813E16"/>
    <w:rsid w:val="00822761"/>
    <w:rsid w:val="00825DE3"/>
    <w:rsid w:val="00826586"/>
    <w:rsid w:val="00831D1F"/>
    <w:rsid w:val="0084211A"/>
    <w:rsid w:val="00853934"/>
    <w:rsid w:val="008549E3"/>
    <w:rsid w:val="00855F24"/>
    <w:rsid w:val="008631AC"/>
    <w:rsid w:val="00863699"/>
    <w:rsid w:val="00871183"/>
    <w:rsid w:val="00874F47"/>
    <w:rsid w:val="0087746D"/>
    <w:rsid w:val="00877585"/>
    <w:rsid w:val="00894959"/>
    <w:rsid w:val="008A2999"/>
    <w:rsid w:val="008A4A65"/>
    <w:rsid w:val="008B6DC5"/>
    <w:rsid w:val="008B76CC"/>
    <w:rsid w:val="008C0A13"/>
    <w:rsid w:val="008C3941"/>
    <w:rsid w:val="008D11CF"/>
    <w:rsid w:val="008F16A7"/>
    <w:rsid w:val="00904D3C"/>
    <w:rsid w:val="00917608"/>
    <w:rsid w:val="00921EF1"/>
    <w:rsid w:val="00934976"/>
    <w:rsid w:val="00955235"/>
    <w:rsid w:val="0096458A"/>
    <w:rsid w:val="00965D7D"/>
    <w:rsid w:val="00982E09"/>
    <w:rsid w:val="0098315E"/>
    <w:rsid w:val="009D1C88"/>
    <w:rsid w:val="009F69BA"/>
    <w:rsid w:val="009F6FA7"/>
    <w:rsid w:val="009F7072"/>
    <w:rsid w:val="00A12485"/>
    <w:rsid w:val="00A22197"/>
    <w:rsid w:val="00A244D2"/>
    <w:rsid w:val="00A2579D"/>
    <w:rsid w:val="00A309B1"/>
    <w:rsid w:val="00A457A3"/>
    <w:rsid w:val="00A51377"/>
    <w:rsid w:val="00A52FA1"/>
    <w:rsid w:val="00A53692"/>
    <w:rsid w:val="00A614FA"/>
    <w:rsid w:val="00A64687"/>
    <w:rsid w:val="00A83F52"/>
    <w:rsid w:val="00AB23EA"/>
    <w:rsid w:val="00AD2D83"/>
    <w:rsid w:val="00AF5C23"/>
    <w:rsid w:val="00AF64DE"/>
    <w:rsid w:val="00B02C2E"/>
    <w:rsid w:val="00B0535E"/>
    <w:rsid w:val="00B07C5A"/>
    <w:rsid w:val="00B263E5"/>
    <w:rsid w:val="00B32DBE"/>
    <w:rsid w:val="00B3628F"/>
    <w:rsid w:val="00B550DA"/>
    <w:rsid w:val="00B636D9"/>
    <w:rsid w:val="00B713B1"/>
    <w:rsid w:val="00B71CAF"/>
    <w:rsid w:val="00B84162"/>
    <w:rsid w:val="00B922D3"/>
    <w:rsid w:val="00BA4BDA"/>
    <w:rsid w:val="00BB2109"/>
    <w:rsid w:val="00BB3FA3"/>
    <w:rsid w:val="00BB3FAB"/>
    <w:rsid w:val="00BB41E1"/>
    <w:rsid w:val="00BB7CEF"/>
    <w:rsid w:val="00BC02BE"/>
    <w:rsid w:val="00BD2185"/>
    <w:rsid w:val="00BE506E"/>
    <w:rsid w:val="00BF18CD"/>
    <w:rsid w:val="00C00493"/>
    <w:rsid w:val="00C0092D"/>
    <w:rsid w:val="00C3529D"/>
    <w:rsid w:val="00C35EB6"/>
    <w:rsid w:val="00C41382"/>
    <w:rsid w:val="00C45963"/>
    <w:rsid w:val="00C7792F"/>
    <w:rsid w:val="00C90BF0"/>
    <w:rsid w:val="00C951D7"/>
    <w:rsid w:val="00CA5889"/>
    <w:rsid w:val="00CA787D"/>
    <w:rsid w:val="00CB5CAE"/>
    <w:rsid w:val="00CC4639"/>
    <w:rsid w:val="00CC668B"/>
    <w:rsid w:val="00CE4ACE"/>
    <w:rsid w:val="00CE52DB"/>
    <w:rsid w:val="00CF2DAD"/>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936"/>
    <w:rsid w:val="00DE798C"/>
    <w:rsid w:val="00DF5485"/>
    <w:rsid w:val="00E20271"/>
    <w:rsid w:val="00E27EAE"/>
    <w:rsid w:val="00E352C4"/>
    <w:rsid w:val="00E40C20"/>
    <w:rsid w:val="00E42458"/>
    <w:rsid w:val="00E42571"/>
    <w:rsid w:val="00E55640"/>
    <w:rsid w:val="00E57C78"/>
    <w:rsid w:val="00E62528"/>
    <w:rsid w:val="00E6289F"/>
    <w:rsid w:val="00E733B7"/>
    <w:rsid w:val="00E74D9D"/>
    <w:rsid w:val="00E914AA"/>
    <w:rsid w:val="00E979A3"/>
    <w:rsid w:val="00EA2BD4"/>
    <w:rsid w:val="00EB0042"/>
    <w:rsid w:val="00EB0D1E"/>
    <w:rsid w:val="00EB31E1"/>
    <w:rsid w:val="00EC4C18"/>
    <w:rsid w:val="00EE2EE5"/>
    <w:rsid w:val="00F0047E"/>
    <w:rsid w:val="00F128A2"/>
    <w:rsid w:val="00F16A9D"/>
    <w:rsid w:val="00F16E7A"/>
    <w:rsid w:val="00F21915"/>
    <w:rsid w:val="00F24CA7"/>
    <w:rsid w:val="00F466AF"/>
    <w:rsid w:val="00F6117D"/>
    <w:rsid w:val="00F77666"/>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PT" w:eastAsia="pt-PT" w:bidi="pt-PT"/>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PT" w:eastAsia="pt-PT" w:bidi="pt-PT"/>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5EC80-CC35-4290-8FCE-09DC4A89B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1207</Words>
  <Characters>7213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8404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6</cp:revision>
  <cp:lastPrinted>2015-10-16T08:20:00Z</cp:lastPrinted>
  <dcterms:created xsi:type="dcterms:W3CDTF">2018-09-20T16:03:00Z</dcterms:created>
  <dcterms:modified xsi:type="dcterms:W3CDTF">2018-09-27T15:04:00Z</dcterms:modified>
</cp:coreProperties>
</file>