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107576" w:rsidRDefault="00C02794" w:rsidP="001619A7">
      <w:pPr>
        <w:pStyle w:val="SectionTitle"/>
        <w:rPr>
          <w:sz w:val="24"/>
          <w:szCs w:val="24"/>
        </w:rPr>
      </w:pPr>
      <w:r w:rsidRPr="00107576">
        <w:rPr>
          <w:noProof/>
          <w:lang w:val="en-GB" w:eastAsia="en-GB" w:bidi="ar-SA"/>
        </w:rPr>
        <w:drawing>
          <wp:inline distT="0" distB="0" distL="0" distR="0" wp14:anchorId="42243A36" wp14:editId="02D9EF61">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107576" w:rsidRPr="00107576" w:rsidRDefault="00107576" w:rsidP="00107576">
      <w:pPr>
        <w:pStyle w:val="SectionTitle"/>
        <w:rPr>
          <w:color w:val="365F91"/>
          <w:sz w:val="24"/>
          <w:szCs w:val="24"/>
        </w:rPr>
      </w:pPr>
      <w:r w:rsidRPr="00107576">
        <w:rPr>
          <w:color w:val="365F91"/>
          <w:sz w:val="24"/>
          <w:szCs w:val="24"/>
        </w:rPr>
        <w:t>EUROPE CRÉATIVE (2014-2020)</w:t>
      </w:r>
    </w:p>
    <w:p w:rsidR="00107576" w:rsidRPr="00107576" w:rsidRDefault="00107576" w:rsidP="00107576">
      <w:pPr>
        <w:pStyle w:val="SectionTitle"/>
        <w:rPr>
          <w:color w:val="365F91"/>
          <w:sz w:val="24"/>
          <w:szCs w:val="24"/>
        </w:rPr>
      </w:pPr>
      <w:r w:rsidRPr="00107576">
        <w:rPr>
          <w:color w:val="365F91"/>
          <w:sz w:val="24"/>
          <w:szCs w:val="24"/>
        </w:rPr>
        <w:t>Sous-programme MEDIA</w:t>
      </w:r>
    </w:p>
    <w:p w:rsidR="001619A7" w:rsidRPr="00107576" w:rsidRDefault="001C3E36" w:rsidP="00107576">
      <w:pPr>
        <w:pStyle w:val="SectionTitle"/>
        <w:rPr>
          <w:sz w:val="24"/>
          <w:szCs w:val="24"/>
          <w:lang w:val="fr-BE"/>
        </w:rPr>
      </w:pPr>
      <w:r>
        <w:rPr>
          <w:sz w:val="24"/>
          <w:szCs w:val="24"/>
        </w:rPr>
        <w:t>a</w:t>
      </w:r>
      <w:r w:rsidR="00107576" w:rsidRPr="00107576">
        <w:rPr>
          <w:sz w:val="24"/>
          <w:szCs w:val="24"/>
        </w:rPr>
        <w:t xml:space="preserve">ppel à propositions </w:t>
      </w:r>
      <w:r w:rsidR="00C02794" w:rsidRPr="00107576">
        <w:rPr>
          <w:sz w:val="24"/>
          <w:lang w:val="fr-BE"/>
        </w:rPr>
        <w:t>– EACEA/33/2018</w:t>
      </w:r>
    </w:p>
    <w:p w:rsidR="00107576" w:rsidRPr="00107576" w:rsidRDefault="00107576" w:rsidP="00107576">
      <w:pPr>
        <w:jc w:val="center"/>
        <w:rPr>
          <w:rFonts w:eastAsia="Arial Unicode MS"/>
          <w:b/>
          <w:smallCaps/>
          <w:sz w:val="44"/>
          <w:szCs w:val="44"/>
          <w:lang w:eastAsia="en-GB" w:bidi="ar-SA"/>
        </w:rPr>
      </w:pPr>
      <w:r w:rsidRPr="00107576">
        <w:rPr>
          <w:b/>
          <w:bCs/>
          <w:i/>
          <w:iCs/>
          <w:lang w:eastAsia="en-GB" w:bidi="ar-SA"/>
        </w:rPr>
        <w:t>Soutien à l'éducation cinématographique</w:t>
      </w:r>
    </w:p>
    <w:p w:rsidR="00863699" w:rsidRPr="00107576" w:rsidRDefault="00863699" w:rsidP="0068309E">
      <w:pPr>
        <w:suppressAutoHyphens/>
        <w:jc w:val="both"/>
        <w:rPr>
          <w:b/>
          <w:smallCaps/>
          <w:sz w:val="22"/>
          <w:szCs w:val="22"/>
        </w:rPr>
      </w:pPr>
    </w:p>
    <w:p w:rsidR="00107576" w:rsidRPr="00107576" w:rsidRDefault="00107576" w:rsidP="00107576">
      <w:pPr>
        <w:pStyle w:val="Heading1"/>
        <w:jc w:val="left"/>
        <w:rPr>
          <w:sz w:val="22"/>
          <w:szCs w:val="22"/>
        </w:rPr>
      </w:pPr>
      <w:r w:rsidRPr="00107576">
        <w:rPr>
          <w:sz w:val="22"/>
          <w:szCs w:val="22"/>
        </w:rPr>
        <w:t>Objectifs et description</w:t>
      </w:r>
    </w:p>
    <w:p w:rsidR="00107576" w:rsidRPr="00107576" w:rsidRDefault="00107576" w:rsidP="00107576">
      <w:pPr>
        <w:pStyle w:val="Text1"/>
        <w:ind w:left="0"/>
        <w:rPr>
          <w:rFonts w:eastAsia="Arial Unicode MS"/>
          <w:sz w:val="22"/>
          <w:szCs w:val="22"/>
        </w:rPr>
      </w:pPr>
      <w:r w:rsidRPr="00107576">
        <w:rPr>
          <w:sz w:val="22"/>
          <w:szCs w:val="22"/>
        </w:rPr>
        <w:t>Le présent avis est fondé sur le</w:t>
      </w:r>
      <w:r w:rsidRPr="00107576">
        <w:rPr>
          <w:rFonts w:eastAsia="Arial Unicode MS"/>
          <w:sz w:val="22"/>
          <w:szCs w:val="22"/>
        </w:rPr>
        <w:t xml:space="preserve"> règlement (UE) n° 1295/2013 du Parlement européen et du Conseil du 11 décembre 2013 établissant le programme «Europe créative»</w:t>
      </w:r>
      <w:r w:rsidRPr="00107576">
        <w:rPr>
          <w:lang w:val="fr-BE"/>
        </w:rPr>
        <w:t xml:space="preserve"> </w:t>
      </w:r>
      <w:r w:rsidRPr="00107576">
        <w:rPr>
          <w:rFonts w:eastAsia="Arial Unicode MS"/>
          <w:sz w:val="22"/>
          <w:szCs w:val="22"/>
        </w:rPr>
        <w:t xml:space="preserve">(2014 à 2020), programme de soutien au secteur créatif européen, ainsi que sur le </w:t>
      </w:r>
      <w:proofErr w:type="spellStart"/>
      <w:r w:rsidRPr="00107576">
        <w:rPr>
          <w:rFonts w:eastAsia="Arial Unicode MS"/>
          <w:sz w:val="22"/>
          <w:szCs w:val="22"/>
        </w:rPr>
        <w:t>corrigendum</w:t>
      </w:r>
      <w:proofErr w:type="spellEnd"/>
      <w:r w:rsidRPr="00107576">
        <w:rPr>
          <w:rFonts w:eastAsia="Arial Unicode MS"/>
          <w:sz w:val="22"/>
          <w:szCs w:val="22"/>
        </w:rPr>
        <w:t xml:space="preserve"> du 27/06/20141</w:t>
      </w:r>
      <w:r w:rsidRPr="00107576">
        <w:rPr>
          <w:rStyle w:val="FootnoteReference"/>
          <w:rFonts w:eastAsia="Arial Unicode MS"/>
          <w:sz w:val="22"/>
          <w:szCs w:val="22"/>
        </w:rPr>
        <w:footnoteReference w:id="1"/>
      </w:r>
      <w:r w:rsidRPr="00107576">
        <w:rPr>
          <w:rFonts w:eastAsia="Arial Unicode MS"/>
          <w:sz w:val="22"/>
          <w:szCs w:val="22"/>
        </w:rPr>
        <w:t xml:space="preserve">. </w:t>
      </w:r>
    </w:p>
    <w:p w:rsidR="00107576" w:rsidRPr="00107576" w:rsidRDefault="00107576" w:rsidP="00107576">
      <w:pPr>
        <w:widowControl w:val="0"/>
        <w:autoSpaceDE w:val="0"/>
        <w:autoSpaceDN w:val="0"/>
        <w:adjustRightInd w:val="0"/>
        <w:spacing w:before="32" w:line="275" w:lineRule="auto"/>
        <w:ind w:right="51"/>
        <w:jc w:val="both"/>
        <w:rPr>
          <w:sz w:val="22"/>
          <w:szCs w:val="22"/>
        </w:rPr>
      </w:pPr>
      <w:r w:rsidRPr="00107576">
        <w:rPr>
          <w:rFonts w:eastAsia="Arial Unicode MS"/>
          <w:sz w:val="22"/>
          <w:szCs w:val="22"/>
        </w:rPr>
        <w:t xml:space="preserve">Dans le cadre de l’objectif spécifique visant à favoriser la </w:t>
      </w:r>
      <w:r w:rsidRPr="00107576">
        <w:rPr>
          <w:sz w:val="22"/>
          <w:szCs w:val="22"/>
        </w:rPr>
        <w:t>circulation transnationale</w:t>
      </w:r>
      <w:r w:rsidRPr="00107576">
        <w:rPr>
          <w:rFonts w:eastAsia="Arial Unicode MS"/>
          <w:sz w:val="22"/>
          <w:szCs w:val="22"/>
        </w:rPr>
        <w:t>, l’une des priorités du sous-programme MEDIA est la suivante</w:t>
      </w:r>
      <w:r w:rsidRPr="00107576">
        <w:rPr>
          <w:sz w:val="22"/>
          <w:szCs w:val="22"/>
        </w:rPr>
        <w:t>:</w:t>
      </w:r>
    </w:p>
    <w:p w:rsidR="00107576" w:rsidRPr="00107576" w:rsidRDefault="00107576" w:rsidP="00107576">
      <w:pPr>
        <w:widowControl w:val="0"/>
        <w:autoSpaceDE w:val="0"/>
        <w:autoSpaceDN w:val="0"/>
        <w:adjustRightInd w:val="0"/>
        <w:spacing w:before="32" w:line="275" w:lineRule="auto"/>
        <w:ind w:right="51"/>
        <w:rPr>
          <w:sz w:val="22"/>
          <w:szCs w:val="22"/>
        </w:rPr>
      </w:pPr>
    </w:p>
    <w:p w:rsidR="00107576" w:rsidRPr="00107576" w:rsidRDefault="00107576" w:rsidP="00107576">
      <w:pPr>
        <w:widowControl w:val="0"/>
        <w:numPr>
          <w:ilvl w:val="0"/>
          <w:numId w:val="12"/>
        </w:numPr>
        <w:autoSpaceDE w:val="0"/>
        <w:autoSpaceDN w:val="0"/>
        <w:adjustRightInd w:val="0"/>
        <w:spacing w:after="200" w:line="276" w:lineRule="auto"/>
        <w:ind w:left="720" w:hanging="720"/>
        <w:jc w:val="both"/>
        <w:rPr>
          <w:sz w:val="22"/>
          <w:szCs w:val="22"/>
        </w:rPr>
      </w:pPr>
      <w:r w:rsidRPr="00107576">
        <w:rPr>
          <w:sz w:val="22"/>
          <w:szCs w:val="22"/>
        </w:rPr>
        <w:t xml:space="preserve">soutenir le développement de l'audience en tant que moyen pour </w:t>
      </w:r>
      <w:r w:rsidRPr="00107576">
        <w:rPr>
          <w:sz w:val="22"/>
          <w:szCs w:val="22"/>
          <w:shd w:val="clear" w:color="auto" w:fill="FFFFFF"/>
        </w:rPr>
        <w:t>susciter davantage d’intérêt pour les œuvres audiovisuelles européennes et en améliorer l’accès, notamment par la promotion, l’organisation d'événements, l’éducation cinématographique et les festivals.</w:t>
      </w:r>
      <w:r w:rsidRPr="00107576">
        <w:rPr>
          <w:sz w:val="22"/>
          <w:szCs w:val="22"/>
        </w:rPr>
        <w:t xml:space="preserve"> </w:t>
      </w:r>
    </w:p>
    <w:p w:rsidR="00107576" w:rsidRPr="00107576" w:rsidRDefault="00107576" w:rsidP="00107576">
      <w:pPr>
        <w:widowControl w:val="0"/>
        <w:tabs>
          <w:tab w:val="left" w:pos="1180"/>
        </w:tabs>
        <w:autoSpaceDE w:val="0"/>
        <w:autoSpaceDN w:val="0"/>
        <w:adjustRightInd w:val="0"/>
        <w:ind w:right="-20"/>
        <w:rPr>
          <w:sz w:val="22"/>
          <w:szCs w:val="22"/>
        </w:rPr>
      </w:pPr>
    </w:p>
    <w:p w:rsidR="00107576" w:rsidRPr="00107576" w:rsidRDefault="00107576" w:rsidP="00107576">
      <w:pPr>
        <w:widowControl w:val="0"/>
        <w:tabs>
          <w:tab w:val="left" w:pos="1180"/>
        </w:tabs>
        <w:autoSpaceDE w:val="0"/>
        <w:autoSpaceDN w:val="0"/>
        <w:adjustRightInd w:val="0"/>
        <w:ind w:right="-20"/>
        <w:rPr>
          <w:sz w:val="22"/>
          <w:szCs w:val="22"/>
        </w:rPr>
      </w:pPr>
      <w:r w:rsidRPr="00107576">
        <w:rPr>
          <w:sz w:val="22"/>
          <w:szCs w:val="22"/>
        </w:rPr>
        <w:t>Le sous-programme MEDIA soutiendra les activités visant à:</w:t>
      </w:r>
    </w:p>
    <w:p w:rsidR="00107576" w:rsidRPr="00107576" w:rsidRDefault="00107576" w:rsidP="00107576">
      <w:pPr>
        <w:jc w:val="both"/>
        <w:rPr>
          <w:bCs/>
          <w:sz w:val="22"/>
          <w:szCs w:val="22"/>
        </w:rPr>
      </w:pPr>
    </w:p>
    <w:p w:rsidR="00107576" w:rsidRPr="00107576" w:rsidRDefault="00107576" w:rsidP="00107576">
      <w:pPr>
        <w:numPr>
          <w:ilvl w:val="0"/>
          <w:numId w:val="11"/>
        </w:numPr>
        <w:spacing w:after="200" w:line="276" w:lineRule="auto"/>
        <w:ind w:hanging="720"/>
        <w:jc w:val="both"/>
        <w:rPr>
          <w:bCs/>
          <w:sz w:val="22"/>
          <w:szCs w:val="22"/>
        </w:rPr>
      </w:pPr>
      <w:r w:rsidRPr="00107576">
        <w:rPr>
          <w:bCs/>
          <w:sz w:val="22"/>
          <w:szCs w:val="22"/>
        </w:rPr>
        <w:t xml:space="preserve">promouvoir </w:t>
      </w:r>
      <w:r w:rsidRPr="00107576">
        <w:rPr>
          <w:sz w:val="22"/>
          <w:szCs w:val="22"/>
          <w:lang w:eastAsia="en-US"/>
        </w:rPr>
        <w:t>l’éducation</w:t>
      </w:r>
      <w:r w:rsidRPr="00107576">
        <w:rPr>
          <w:bCs/>
          <w:sz w:val="22"/>
          <w:szCs w:val="22"/>
        </w:rPr>
        <w:t xml:space="preserve"> cinématographique et à accroître la connaissance, par le public, des œuvres audiovisuelles européennes et l’intérêt pour celles-ci, y compris le patrimoine audiovisuel et cinématographique, en ciblant particulièrement les jeunes;</w:t>
      </w:r>
    </w:p>
    <w:p w:rsidR="00107576" w:rsidRPr="00107576" w:rsidRDefault="00107576" w:rsidP="00107576">
      <w:pPr>
        <w:ind w:left="720"/>
        <w:jc w:val="both"/>
        <w:rPr>
          <w:bCs/>
          <w:sz w:val="22"/>
          <w:szCs w:val="22"/>
        </w:rPr>
      </w:pPr>
    </w:p>
    <w:p w:rsidR="00107576" w:rsidRPr="00107576" w:rsidRDefault="00107576" w:rsidP="00107576">
      <w:pPr>
        <w:numPr>
          <w:ilvl w:val="0"/>
          <w:numId w:val="11"/>
        </w:numPr>
        <w:spacing w:after="200" w:line="276" w:lineRule="auto"/>
        <w:jc w:val="both"/>
        <w:rPr>
          <w:bCs/>
          <w:sz w:val="22"/>
          <w:szCs w:val="22"/>
        </w:rPr>
      </w:pPr>
      <w:r w:rsidRPr="00107576">
        <w:rPr>
          <w:bCs/>
          <w:sz w:val="22"/>
          <w:szCs w:val="22"/>
        </w:rPr>
        <w:t>encourager la circulation des films européens à l'échelle mondiale et celle des films internationaux dans l’Union européenne sur toutes les plateformes de distribution à travers des projets de coopération internationale dans le secteur audiovisuel.</w:t>
      </w:r>
    </w:p>
    <w:p w:rsidR="00107576" w:rsidRPr="00107576" w:rsidRDefault="00107576" w:rsidP="00107576">
      <w:pPr>
        <w:pStyle w:val="Text1"/>
        <w:ind w:left="0"/>
        <w:rPr>
          <w:rFonts w:eastAsia="Arial Unicode MS"/>
          <w:sz w:val="22"/>
          <w:szCs w:val="22"/>
        </w:rPr>
      </w:pPr>
    </w:p>
    <w:p w:rsidR="00107576" w:rsidRPr="00107576" w:rsidRDefault="00107576" w:rsidP="00107576">
      <w:pPr>
        <w:pStyle w:val="Heading1"/>
        <w:jc w:val="left"/>
        <w:rPr>
          <w:sz w:val="22"/>
          <w:szCs w:val="22"/>
        </w:rPr>
      </w:pPr>
      <w:r w:rsidRPr="00107576">
        <w:rPr>
          <w:sz w:val="22"/>
          <w:szCs w:val="22"/>
        </w:rPr>
        <w:lastRenderedPageBreak/>
        <w:t>Candidats éligibles</w:t>
      </w:r>
    </w:p>
    <w:p w:rsidR="00107576" w:rsidRPr="00107576" w:rsidRDefault="00107576" w:rsidP="00107576">
      <w:pPr>
        <w:pStyle w:val="Heading1"/>
        <w:numPr>
          <w:ilvl w:val="0"/>
          <w:numId w:val="0"/>
        </w:numPr>
        <w:spacing w:after="100" w:afterAutospacing="1"/>
        <w:ind w:left="480" w:hanging="480"/>
        <w:rPr>
          <w:rFonts w:eastAsia="Arial Unicode MS"/>
          <w:b w:val="0"/>
          <w:smallCaps w:val="0"/>
          <w:sz w:val="22"/>
          <w:szCs w:val="22"/>
          <w:lang w:eastAsia="en-GB"/>
        </w:rPr>
      </w:pPr>
      <w:r w:rsidRPr="00107576">
        <w:rPr>
          <w:rFonts w:eastAsia="Arial Unicode MS"/>
          <w:b w:val="0"/>
          <w:smallCaps w:val="0"/>
          <w:sz w:val="22"/>
          <w:szCs w:val="22"/>
          <w:lang w:eastAsia="en-GB"/>
        </w:rPr>
        <w:t xml:space="preserve">Les candidats éligibles auront la forme d'un groupement (un chef de projet et au moins 2 partenaires) d'entités juridiques européennes (sociétés privées, organisations sans but lucratif, associations, œuvres caritatives, fondations, municipalités/conseils municipaux, etc.) établies dans l'un des pays participant au sous-programme MEDIA (voir lien ci-dessous) et détenues, directement ou par participation majoritaire, par des ressortissants de ces pays. </w:t>
      </w:r>
    </w:p>
    <w:p w:rsidR="00107576" w:rsidRPr="00107576" w:rsidRDefault="00107576" w:rsidP="00107576">
      <w:pPr>
        <w:pStyle w:val="Heading1"/>
        <w:numPr>
          <w:ilvl w:val="0"/>
          <w:numId w:val="0"/>
        </w:numPr>
        <w:spacing w:after="100" w:afterAutospacing="1"/>
        <w:ind w:left="480" w:hanging="480"/>
        <w:rPr>
          <w:rFonts w:eastAsia="Arial Unicode MS"/>
          <w:b w:val="0"/>
          <w:smallCaps w:val="0"/>
          <w:sz w:val="22"/>
          <w:szCs w:val="22"/>
          <w:lang w:eastAsia="en-GB"/>
        </w:rPr>
      </w:pPr>
      <w:r w:rsidRPr="00107576">
        <w:rPr>
          <w:rFonts w:eastAsia="Arial Unicode MS"/>
          <w:b w:val="0"/>
          <w:smallCaps w:val="0"/>
          <w:sz w:val="22"/>
          <w:szCs w:val="22"/>
          <w:lang w:eastAsia="en-GB"/>
        </w:rPr>
        <w:tab/>
        <w:t xml:space="preserve">Les candidatures d’organismes dotés d'une personnalité juridique établis dans l’un des pays suivants sont éligibles pour autant que toutes les conditions visées à l’article 8 du règlement établissant le programme «Europe créative» soient remplies et que la Commission ait entamé des négociations avec le pays en question: </w:t>
      </w:r>
    </w:p>
    <w:p w:rsidR="00107576" w:rsidRPr="00107576" w:rsidRDefault="00107576" w:rsidP="00107576">
      <w:pPr>
        <w:numPr>
          <w:ilvl w:val="0"/>
          <w:numId w:val="14"/>
        </w:numPr>
        <w:spacing w:before="100" w:beforeAutospacing="1" w:after="120"/>
        <w:jc w:val="both"/>
        <w:rPr>
          <w:color w:val="000000"/>
          <w:sz w:val="22"/>
          <w:szCs w:val="22"/>
        </w:rPr>
      </w:pPr>
      <w:r w:rsidRPr="00107576">
        <w:rPr>
          <w:color w:val="000000"/>
          <w:sz w:val="22"/>
          <w:szCs w:val="22"/>
        </w:rPr>
        <w:t>les États membres de l’Union européenne,</w:t>
      </w:r>
    </w:p>
    <w:p w:rsidR="00107576" w:rsidRPr="00107576" w:rsidRDefault="00107576" w:rsidP="00107576">
      <w:pPr>
        <w:numPr>
          <w:ilvl w:val="0"/>
          <w:numId w:val="14"/>
        </w:numPr>
        <w:spacing w:before="100" w:beforeAutospacing="1" w:after="120"/>
        <w:jc w:val="both"/>
        <w:rPr>
          <w:color w:val="000000"/>
          <w:sz w:val="22"/>
          <w:szCs w:val="22"/>
        </w:rPr>
      </w:pPr>
      <w:r w:rsidRPr="00107576">
        <w:rPr>
          <w:color w:val="000000"/>
          <w:sz w:val="22"/>
          <w:szCs w:val="22"/>
        </w:rPr>
        <w:t>les pays en voie d’adhésion, les pays candidats et les candidats potentiels bénéficiant d’une stratégie de préadhésion, conformément aux principes généraux et aux modalités et conditions générales applicables à la participation de ces pays aux programmes de l’Union européenne, tels qu’établis dans les accords-cadres, les décisions des conseils d’association et les accords similaires applicables,</w:t>
      </w:r>
    </w:p>
    <w:p w:rsidR="00107576" w:rsidRPr="00107576" w:rsidRDefault="00107576" w:rsidP="00107576">
      <w:pPr>
        <w:numPr>
          <w:ilvl w:val="0"/>
          <w:numId w:val="14"/>
        </w:numPr>
        <w:spacing w:before="100" w:beforeAutospacing="1" w:after="120"/>
        <w:jc w:val="both"/>
        <w:rPr>
          <w:color w:val="000000"/>
          <w:sz w:val="22"/>
          <w:szCs w:val="22"/>
        </w:rPr>
      </w:pPr>
      <w:r w:rsidRPr="00107576">
        <w:rPr>
          <w:color w:val="000000"/>
          <w:sz w:val="22"/>
          <w:szCs w:val="22"/>
        </w:rPr>
        <w:t>les pays de l’AELE qui sont membres de l’EEE, conformément aux dispositions de l’accord EEE,</w:t>
      </w:r>
    </w:p>
    <w:p w:rsidR="00107576" w:rsidRPr="00107576" w:rsidRDefault="00107576" w:rsidP="00107576">
      <w:pPr>
        <w:numPr>
          <w:ilvl w:val="0"/>
          <w:numId w:val="14"/>
        </w:numPr>
        <w:spacing w:before="100" w:beforeAutospacing="1" w:after="120"/>
        <w:jc w:val="both"/>
        <w:rPr>
          <w:color w:val="000000"/>
          <w:sz w:val="22"/>
          <w:szCs w:val="22"/>
        </w:rPr>
      </w:pPr>
      <w:r w:rsidRPr="00107576">
        <w:rPr>
          <w:color w:val="000000"/>
          <w:sz w:val="22"/>
          <w:szCs w:val="22"/>
        </w:rPr>
        <w:t>la Confédération suisse, sur la base d’un accord bilatéral à conclure avec ce pays,</w:t>
      </w:r>
    </w:p>
    <w:p w:rsidR="00107576" w:rsidRPr="00107576" w:rsidRDefault="00107576" w:rsidP="00107576">
      <w:pPr>
        <w:numPr>
          <w:ilvl w:val="0"/>
          <w:numId w:val="14"/>
        </w:numPr>
        <w:spacing w:before="100" w:beforeAutospacing="1" w:after="120"/>
        <w:ind w:right="20"/>
        <w:jc w:val="both"/>
        <w:rPr>
          <w:color w:val="000000"/>
          <w:sz w:val="22"/>
          <w:szCs w:val="22"/>
        </w:rPr>
      </w:pPr>
      <w:r w:rsidRPr="00107576">
        <w:rPr>
          <w:color w:val="000000"/>
          <w:sz w:val="22"/>
          <w:szCs w:val="22"/>
        </w:rPr>
        <w:t>les pays relevant de la politique européenne de voisinage, conformément aux procédures établies avec ces pays selon les accords-cadres prévoyant leur participation à des programmes de l'Union.</w:t>
      </w:r>
    </w:p>
    <w:p w:rsidR="00107576" w:rsidRPr="00107576" w:rsidRDefault="00107576" w:rsidP="00107576">
      <w:pPr>
        <w:tabs>
          <w:tab w:val="left" w:pos="0"/>
        </w:tabs>
        <w:spacing w:before="100" w:beforeAutospacing="1" w:after="180"/>
        <w:ind w:right="20"/>
        <w:jc w:val="both"/>
        <w:rPr>
          <w:color w:val="000000"/>
          <w:sz w:val="22"/>
          <w:szCs w:val="22"/>
        </w:rPr>
      </w:pPr>
      <w:r w:rsidRPr="00107576">
        <w:rPr>
          <w:color w:val="000000"/>
          <w:sz w:val="22"/>
          <w:szCs w:val="22"/>
        </w:rPr>
        <w:t>Le programme sera également ouvert aux actions de coopération bilatérale ou multilatérale ciblant des pays ou régions sélectionnés sur la base de crédits supplémentaires versés par ces pays ou régions et de modalités particulières qui doivent être convenues d'un commun accord avec ces derniers.</w:t>
      </w:r>
    </w:p>
    <w:p w:rsidR="00107576" w:rsidRPr="00107576" w:rsidRDefault="00107576" w:rsidP="00107576">
      <w:pPr>
        <w:spacing w:after="180" w:line="274" w:lineRule="exact"/>
        <w:jc w:val="both"/>
        <w:rPr>
          <w:sz w:val="22"/>
          <w:szCs w:val="22"/>
        </w:rPr>
      </w:pPr>
      <w:r w:rsidRPr="00107576">
        <w:rPr>
          <w:color w:val="000000"/>
          <w:sz w:val="22"/>
          <w:szCs w:val="22"/>
        </w:rPr>
        <w:t>Le programme permettra de mener des actions de coopération et des actions communes avec des pays qui ne participent pas au programme, ainsi qu'avec des organisations internationales actives dans les secteurs culturels et créatifs, tels l’Unesco, le Conseil de l’'Europe, l’Organisation de coopération et de développement économiques ou l’Organisation mondiale de la propriété intellectuelle, sur la base de contributions communes pour la réalisation des objectifs du programme.</w:t>
      </w:r>
    </w:p>
    <w:p w:rsidR="00107576" w:rsidRPr="00107576" w:rsidRDefault="00107576" w:rsidP="00107576">
      <w:pPr>
        <w:jc w:val="both"/>
        <w:rPr>
          <w:sz w:val="22"/>
          <w:szCs w:val="22"/>
        </w:rPr>
      </w:pPr>
      <w:r w:rsidRPr="00107576">
        <w:rPr>
          <w:sz w:val="22"/>
          <w:szCs w:val="22"/>
        </w:rPr>
        <w:t>L'Agence peut sélectionner des propositions présentées par des candidats provenant de pays non membres de l'UE, pour autant qu'à la date de la décision d'attribution, des accords aient été signés en vue de définir les modalités de la participation de ces pays au programme établi par le règlement susmentionné.</w:t>
      </w:r>
      <w:r w:rsidRPr="00107576" w:rsidDel="00524EBC">
        <w:rPr>
          <w:sz w:val="22"/>
          <w:szCs w:val="22"/>
        </w:rPr>
        <w:t xml:space="preserve"> </w:t>
      </w:r>
    </w:p>
    <w:p w:rsidR="00107576" w:rsidRPr="00107576" w:rsidRDefault="00107576" w:rsidP="00107576">
      <w:pPr>
        <w:jc w:val="both"/>
        <w:rPr>
          <w:sz w:val="22"/>
          <w:szCs w:val="22"/>
        </w:rPr>
      </w:pPr>
    </w:p>
    <w:p w:rsidR="00863699" w:rsidRPr="00107576" w:rsidRDefault="00107576" w:rsidP="00107576">
      <w:pPr>
        <w:jc w:val="both"/>
        <w:rPr>
          <w:sz w:val="22"/>
          <w:szCs w:val="22"/>
          <w:lang w:val="fr-BE"/>
        </w:rPr>
      </w:pPr>
      <w:r w:rsidRPr="00107576">
        <w:rPr>
          <w:sz w:val="22"/>
          <w:szCs w:val="22"/>
        </w:rPr>
        <w:t>(La liste actualisée des pays qui répondent aux conditions mentionnées à l’article 8 du règlement et avec lesquels la Commission a entamé des négociations est disponible en suivant le</w:t>
      </w:r>
      <w:r w:rsidR="00C02794" w:rsidRPr="00107576">
        <w:rPr>
          <w:sz w:val="22"/>
          <w:lang w:val="fr-BE"/>
        </w:rPr>
        <w:t>:</w:t>
      </w:r>
    </w:p>
    <w:p w:rsidR="000139A4" w:rsidRPr="001C3E36" w:rsidRDefault="00644FEA" w:rsidP="001337F5">
      <w:pPr>
        <w:jc w:val="both"/>
        <w:rPr>
          <w:rFonts w:eastAsia="Calibri"/>
          <w:sz w:val="22"/>
          <w:szCs w:val="22"/>
          <w:lang w:val="fr-BE"/>
        </w:rPr>
      </w:pPr>
      <w:hyperlink r:id="rId10" w:history="1">
        <w:r w:rsidR="00BB363C" w:rsidRPr="001C3E36">
          <w:rPr>
            <w:rStyle w:val="Hyperlink"/>
            <w:color w:val="auto"/>
            <w:sz w:val="22"/>
            <w:lang w:val="fr-BE"/>
          </w:rPr>
          <w:t>http://eacea.ec.europa.eu/creative-europe/library/eligibility-organisations-non-eu-countries_en</w:t>
        </w:r>
      </w:hyperlink>
      <w:r w:rsidR="00BB363C" w:rsidRPr="001C3E36">
        <w:rPr>
          <w:sz w:val="22"/>
          <w:lang w:val="fr-BE"/>
        </w:rPr>
        <w:t>).</w:t>
      </w:r>
    </w:p>
    <w:p w:rsidR="001337F5" w:rsidRPr="001C3E36" w:rsidRDefault="001337F5" w:rsidP="001337F5">
      <w:pPr>
        <w:jc w:val="both"/>
        <w:rPr>
          <w:rFonts w:eastAsia="Calibri"/>
          <w:sz w:val="22"/>
          <w:szCs w:val="22"/>
          <w:lang w:val="fr-BE"/>
        </w:rPr>
      </w:pPr>
    </w:p>
    <w:p w:rsidR="001337F5" w:rsidRPr="00107576" w:rsidRDefault="00C02794" w:rsidP="001337F5">
      <w:pPr>
        <w:jc w:val="both"/>
        <w:rPr>
          <w:rFonts w:eastAsia="Calibri"/>
          <w:sz w:val="22"/>
          <w:szCs w:val="22"/>
        </w:rPr>
      </w:pPr>
      <w:r w:rsidRPr="00107576">
        <w:rPr>
          <w:sz w:val="22"/>
        </w:rPr>
        <w:t>Le chef de projet soumettra la demande au nom de l’ensemble des partenaires.</w:t>
      </w:r>
    </w:p>
    <w:p w:rsidR="00562159" w:rsidRPr="00107576" w:rsidRDefault="00562159" w:rsidP="000139A4">
      <w:pPr>
        <w:jc w:val="both"/>
        <w:rPr>
          <w:rFonts w:eastAsia="Calibri"/>
          <w:sz w:val="22"/>
          <w:szCs w:val="22"/>
        </w:rPr>
      </w:pPr>
    </w:p>
    <w:p w:rsidR="0048665C" w:rsidRPr="00107576" w:rsidRDefault="00C02794" w:rsidP="00863699">
      <w:pPr>
        <w:autoSpaceDE w:val="0"/>
        <w:autoSpaceDN w:val="0"/>
        <w:adjustRightInd w:val="0"/>
        <w:rPr>
          <w:sz w:val="22"/>
          <w:szCs w:val="22"/>
        </w:rPr>
      </w:pPr>
      <w:r w:rsidRPr="00107576">
        <w:rPr>
          <w:sz w:val="22"/>
        </w:rPr>
        <w:t xml:space="preserve">Les personnes physiques ne sont </w:t>
      </w:r>
      <w:r w:rsidRPr="00107576">
        <w:rPr>
          <w:b/>
          <w:sz w:val="22"/>
        </w:rPr>
        <w:t>pas</w:t>
      </w:r>
      <w:r w:rsidRPr="00107576">
        <w:rPr>
          <w:sz w:val="22"/>
        </w:rPr>
        <w:t xml:space="preserve"> autorisées à solliciter une subvention.</w:t>
      </w:r>
    </w:p>
    <w:p w:rsidR="00D6275F" w:rsidRPr="00107576" w:rsidRDefault="00644FEA" w:rsidP="002B5835">
      <w:pPr>
        <w:pStyle w:val="Heading1"/>
        <w:rPr>
          <w:sz w:val="22"/>
          <w:szCs w:val="22"/>
        </w:rPr>
      </w:pPr>
      <w:r>
        <w:rPr>
          <w:sz w:val="22"/>
        </w:rPr>
        <w:lastRenderedPageBreak/>
        <w:t>activités</w:t>
      </w:r>
      <w:r w:rsidR="00C02794" w:rsidRPr="00107576">
        <w:rPr>
          <w:sz w:val="22"/>
        </w:rPr>
        <w:t xml:space="preserve"> éligibles</w:t>
      </w:r>
      <w:bookmarkStart w:id="0" w:name="_GoBack"/>
      <w:bookmarkEnd w:id="0"/>
    </w:p>
    <w:p w:rsidR="001337F5" w:rsidRPr="00107576" w:rsidRDefault="00C02794" w:rsidP="001337F5">
      <w:pPr>
        <w:spacing w:after="120"/>
        <w:jc w:val="both"/>
        <w:rPr>
          <w:rFonts w:eastAsia="Calibri"/>
          <w:kern w:val="32"/>
          <w:sz w:val="22"/>
          <w:szCs w:val="22"/>
        </w:rPr>
      </w:pPr>
      <w:r w:rsidRPr="00107576">
        <w:rPr>
          <w:kern w:val="32"/>
          <w:sz w:val="22"/>
        </w:rPr>
        <w:t xml:space="preserve">La création d’un catalogue bien géré de films européens et du matériel pédagogique connexe, à mettre à la disposition de jeunes âgés de 11 à 18 ans, allant à l’école primaire ou secondaire dans les pays participant au sous-programme MEDIA.  </w:t>
      </w:r>
    </w:p>
    <w:p w:rsidR="001337F5" w:rsidRPr="00107576" w:rsidRDefault="00C02794" w:rsidP="001337F5">
      <w:pPr>
        <w:spacing w:after="120"/>
        <w:jc w:val="both"/>
        <w:rPr>
          <w:rFonts w:eastAsia="Calibri"/>
          <w:kern w:val="32"/>
          <w:sz w:val="22"/>
          <w:szCs w:val="22"/>
        </w:rPr>
      </w:pPr>
      <w:r w:rsidRPr="00107576">
        <w:rPr>
          <w:kern w:val="32"/>
          <w:sz w:val="22"/>
        </w:rPr>
        <w:t xml:space="preserve">Le catalogue doit comprendre des films connus, qui ont contribué à l’histoire de la filmographie européenne et qui seront utilisés dans le cadre d’activités d’éducation cinématographique. </w:t>
      </w:r>
    </w:p>
    <w:p w:rsidR="001337F5" w:rsidRPr="00107576" w:rsidRDefault="00C02794" w:rsidP="001337F5">
      <w:pPr>
        <w:spacing w:after="120"/>
        <w:jc w:val="both"/>
        <w:rPr>
          <w:rFonts w:eastAsia="Calibri"/>
          <w:kern w:val="32"/>
          <w:sz w:val="22"/>
          <w:szCs w:val="22"/>
        </w:rPr>
      </w:pPr>
      <w:r w:rsidRPr="00107576">
        <w:rPr>
          <w:kern w:val="32"/>
          <w:sz w:val="22"/>
        </w:rPr>
        <w:t xml:space="preserve">Le catalogue doit contenir au moins </w:t>
      </w:r>
      <w:r w:rsidR="00107576" w:rsidRPr="00107576">
        <w:rPr>
          <w:kern w:val="32"/>
          <w:sz w:val="22"/>
        </w:rPr>
        <w:t>7</w:t>
      </w:r>
      <w:r w:rsidRPr="00107576">
        <w:rPr>
          <w:kern w:val="32"/>
          <w:sz w:val="22"/>
        </w:rPr>
        <w:t xml:space="preserve"> longs métrages. </w:t>
      </w:r>
    </w:p>
    <w:p w:rsidR="001337F5" w:rsidRPr="00107576" w:rsidRDefault="00C02794" w:rsidP="001337F5">
      <w:pPr>
        <w:spacing w:after="120"/>
        <w:jc w:val="both"/>
        <w:rPr>
          <w:rFonts w:eastAsia="Calibri"/>
          <w:kern w:val="32"/>
          <w:sz w:val="22"/>
          <w:szCs w:val="22"/>
        </w:rPr>
      </w:pPr>
      <w:r w:rsidRPr="00107576">
        <w:rPr>
          <w:kern w:val="32"/>
          <w:sz w:val="22"/>
        </w:rPr>
        <w:t xml:space="preserve">Les droits des films du catalogue doivent avoir été acquis pour une période de </w:t>
      </w:r>
      <w:r w:rsidR="001C3E36">
        <w:rPr>
          <w:kern w:val="32"/>
          <w:sz w:val="22"/>
        </w:rPr>
        <w:t>3</w:t>
      </w:r>
      <w:r w:rsidRPr="00107576">
        <w:rPr>
          <w:kern w:val="32"/>
          <w:sz w:val="22"/>
        </w:rPr>
        <w:t xml:space="preserve"> ans minimum et pour tous les pays participant au sous-programme MEDIA. Les versions linguistiques (doublage et sous-titrage) de la majorité des films du catalogue doivent être disponibles pour tous les pays participant au programme. </w:t>
      </w:r>
    </w:p>
    <w:p w:rsidR="001337F5" w:rsidRPr="00107576" w:rsidRDefault="00C02794" w:rsidP="001337F5">
      <w:pPr>
        <w:spacing w:after="120"/>
        <w:jc w:val="both"/>
        <w:rPr>
          <w:rFonts w:eastAsia="Calibri"/>
          <w:kern w:val="32"/>
          <w:sz w:val="22"/>
          <w:szCs w:val="22"/>
        </w:rPr>
      </w:pPr>
      <w:r w:rsidRPr="00107576">
        <w:rPr>
          <w:kern w:val="32"/>
          <w:sz w:val="22"/>
        </w:rPr>
        <w:t xml:space="preserve">Le catalogue doit respecter une certaine diversité en matière de: </w:t>
      </w:r>
    </w:p>
    <w:p w:rsidR="001337F5" w:rsidRPr="00107576" w:rsidRDefault="00C02794" w:rsidP="001337F5">
      <w:pPr>
        <w:spacing w:after="120"/>
        <w:jc w:val="both"/>
        <w:rPr>
          <w:rFonts w:eastAsia="Calibri"/>
          <w:kern w:val="32"/>
          <w:sz w:val="22"/>
          <w:szCs w:val="22"/>
        </w:rPr>
      </w:pPr>
      <w:r w:rsidRPr="00107576">
        <w:rPr>
          <w:kern w:val="32"/>
          <w:sz w:val="22"/>
        </w:rPr>
        <w:t>-</w:t>
      </w:r>
      <w:r w:rsidRPr="00107576">
        <w:tab/>
      </w:r>
      <w:r w:rsidRPr="00107576">
        <w:rPr>
          <w:kern w:val="32"/>
          <w:sz w:val="22"/>
        </w:rPr>
        <w:t>nationalité;</w:t>
      </w:r>
    </w:p>
    <w:p w:rsidR="001337F5" w:rsidRPr="00107576" w:rsidRDefault="00C02794" w:rsidP="001337F5">
      <w:pPr>
        <w:spacing w:after="120"/>
        <w:jc w:val="both"/>
        <w:rPr>
          <w:rFonts w:eastAsia="Calibri"/>
          <w:kern w:val="32"/>
          <w:sz w:val="22"/>
          <w:szCs w:val="22"/>
        </w:rPr>
      </w:pPr>
      <w:r w:rsidRPr="00107576">
        <w:rPr>
          <w:kern w:val="32"/>
          <w:sz w:val="22"/>
        </w:rPr>
        <w:t>-</w:t>
      </w:r>
      <w:r w:rsidRPr="00107576">
        <w:tab/>
      </w:r>
      <w:r w:rsidRPr="00107576">
        <w:rPr>
          <w:kern w:val="32"/>
          <w:sz w:val="22"/>
        </w:rPr>
        <w:t>langue;</w:t>
      </w:r>
    </w:p>
    <w:p w:rsidR="001337F5" w:rsidRPr="00107576" w:rsidRDefault="00C02794" w:rsidP="001337F5">
      <w:pPr>
        <w:spacing w:after="120"/>
        <w:jc w:val="both"/>
        <w:rPr>
          <w:rFonts w:eastAsia="Calibri"/>
          <w:kern w:val="32"/>
          <w:sz w:val="22"/>
          <w:szCs w:val="22"/>
        </w:rPr>
      </w:pPr>
      <w:r w:rsidRPr="00107576">
        <w:rPr>
          <w:kern w:val="32"/>
          <w:sz w:val="22"/>
        </w:rPr>
        <w:t>-</w:t>
      </w:r>
      <w:r w:rsidRPr="00107576">
        <w:tab/>
      </w:r>
      <w:r w:rsidRPr="00107576">
        <w:rPr>
          <w:kern w:val="32"/>
          <w:sz w:val="22"/>
        </w:rPr>
        <w:t>genre;</w:t>
      </w:r>
    </w:p>
    <w:p w:rsidR="001337F5" w:rsidRPr="00107576" w:rsidRDefault="00C02794" w:rsidP="001337F5">
      <w:pPr>
        <w:spacing w:after="120"/>
        <w:jc w:val="both"/>
        <w:rPr>
          <w:rFonts w:eastAsia="Calibri"/>
          <w:kern w:val="32"/>
          <w:sz w:val="22"/>
          <w:szCs w:val="22"/>
        </w:rPr>
      </w:pPr>
      <w:r w:rsidRPr="00107576">
        <w:rPr>
          <w:kern w:val="32"/>
          <w:sz w:val="22"/>
        </w:rPr>
        <w:t>-</w:t>
      </w:r>
      <w:r w:rsidRPr="00107576">
        <w:tab/>
      </w:r>
      <w:r w:rsidRPr="00107576">
        <w:rPr>
          <w:kern w:val="32"/>
          <w:sz w:val="22"/>
        </w:rPr>
        <w:t>année de production;</w:t>
      </w:r>
    </w:p>
    <w:p w:rsidR="001337F5" w:rsidRPr="00107576" w:rsidRDefault="00C02794" w:rsidP="001337F5">
      <w:pPr>
        <w:spacing w:after="120"/>
        <w:jc w:val="both"/>
        <w:rPr>
          <w:rFonts w:eastAsia="Calibri"/>
          <w:kern w:val="32"/>
          <w:sz w:val="22"/>
          <w:szCs w:val="22"/>
        </w:rPr>
      </w:pPr>
      <w:r w:rsidRPr="00107576">
        <w:rPr>
          <w:kern w:val="32"/>
          <w:sz w:val="22"/>
        </w:rPr>
        <w:t>-</w:t>
      </w:r>
      <w:r w:rsidRPr="00107576">
        <w:tab/>
      </w:r>
      <w:r w:rsidRPr="00107576">
        <w:rPr>
          <w:kern w:val="32"/>
          <w:sz w:val="22"/>
        </w:rPr>
        <w:t>thème/sujet;</w:t>
      </w:r>
    </w:p>
    <w:p w:rsidR="00A51377" w:rsidRPr="00107576" w:rsidRDefault="00C02794" w:rsidP="001337F5">
      <w:pPr>
        <w:spacing w:after="120"/>
        <w:jc w:val="both"/>
        <w:rPr>
          <w:rFonts w:eastAsia="Calibri"/>
          <w:kern w:val="32"/>
          <w:sz w:val="22"/>
          <w:szCs w:val="22"/>
        </w:rPr>
      </w:pPr>
      <w:r w:rsidRPr="00107576">
        <w:rPr>
          <w:kern w:val="32"/>
          <w:sz w:val="22"/>
        </w:rPr>
        <w:t>-</w:t>
      </w:r>
      <w:r w:rsidRPr="00107576">
        <w:tab/>
      </w:r>
      <w:r w:rsidRPr="00107576">
        <w:rPr>
          <w:kern w:val="32"/>
          <w:sz w:val="22"/>
        </w:rPr>
        <w:t>égalité hommes/femmes.</w:t>
      </w:r>
    </w:p>
    <w:p w:rsidR="001337F5" w:rsidRPr="00107576" w:rsidRDefault="00C02794" w:rsidP="001337F5">
      <w:pPr>
        <w:spacing w:after="120"/>
        <w:jc w:val="both"/>
        <w:rPr>
          <w:rFonts w:eastAsia="Calibri"/>
          <w:kern w:val="32"/>
          <w:sz w:val="22"/>
          <w:szCs w:val="22"/>
        </w:rPr>
      </w:pPr>
      <w:r w:rsidRPr="00107576">
        <w:rPr>
          <w:kern w:val="32"/>
          <w:sz w:val="22"/>
        </w:rPr>
        <w:t xml:space="preserve">La publication du catalogue doit être accompagnée d’une campagne de communication ambitieuse en vue de promouvoir le projet auprès des écoles et du grand public. </w:t>
      </w:r>
    </w:p>
    <w:p w:rsidR="000D59EB" w:rsidRPr="00107576" w:rsidRDefault="00C02794" w:rsidP="000D59EB">
      <w:pPr>
        <w:spacing w:after="120"/>
        <w:jc w:val="both"/>
        <w:rPr>
          <w:rFonts w:eastAsia="Calibri"/>
          <w:kern w:val="32"/>
          <w:sz w:val="22"/>
          <w:szCs w:val="22"/>
        </w:rPr>
      </w:pPr>
      <w:r w:rsidRPr="00107576">
        <w:rPr>
          <w:kern w:val="32"/>
          <w:sz w:val="22"/>
        </w:rPr>
        <w:t xml:space="preserve">Les activités couvriront: l’acquisition des droits éducatifs des films, la préparation des projets de doublage ou de sous-titrage, le matériel pédagogique et le travail de diffusion et de promotion auprès des écoles ciblées et du grand public. </w:t>
      </w:r>
    </w:p>
    <w:p w:rsidR="001337F5" w:rsidRPr="00107576" w:rsidRDefault="00C02794" w:rsidP="000D59EB">
      <w:pPr>
        <w:spacing w:after="120"/>
        <w:jc w:val="both"/>
        <w:rPr>
          <w:rFonts w:eastAsia="Arial Unicode MS"/>
          <w:sz w:val="22"/>
          <w:szCs w:val="22"/>
        </w:rPr>
      </w:pPr>
      <w:r w:rsidRPr="00107576">
        <w:rPr>
          <w:sz w:val="22"/>
        </w:rPr>
        <w:t>La période d’éligibilité des coûts débutera le 1 </w:t>
      </w:r>
      <w:r w:rsidRPr="00107576">
        <w:rPr>
          <w:sz w:val="22"/>
          <w:vertAlign w:val="superscript"/>
        </w:rPr>
        <w:t>er</w:t>
      </w:r>
      <w:r w:rsidRPr="00107576">
        <w:rPr>
          <w:sz w:val="22"/>
        </w:rPr>
        <w:t> juin 2019 et durera 19 mois. Le catalogue devra être prêt et disponible le 30 septembre 2020 au plus tard. Les trois derniers mois de l’action seront uniquement consacrés à la diffusion et à la promotion du catalogue auprès des écoles et du grand public.</w:t>
      </w:r>
    </w:p>
    <w:p w:rsidR="00E42571" w:rsidRPr="00107576" w:rsidRDefault="00C02794" w:rsidP="00E42571">
      <w:pPr>
        <w:pStyle w:val="Heading1"/>
      </w:pPr>
      <w:r w:rsidRPr="00107576">
        <w:t>Critères d’attribution</w:t>
      </w:r>
    </w:p>
    <w:p w:rsidR="00AF5C23" w:rsidRPr="00107576" w:rsidRDefault="00C02794" w:rsidP="0076735E">
      <w:pPr>
        <w:pStyle w:val="Text1"/>
        <w:ind w:left="0"/>
        <w:jc w:val="left"/>
        <w:rPr>
          <w:sz w:val="22"/>
          <w:szCs w:val="22"/>
        </w:rPr>
      </w:pPr>
      <w:r w:rsidRPr="00107576">
        <w:rPr>
          <w:sz w:val="22"/>
        </w:rPr>
        <w:t>Les points seront attribués sur un total de 100 selon la pondération suivante:</w:t>
      </w:r>
    </w:p>
    <w:p w:rsidR="008C0A13" w:rsidRPr="00107576" w:rsidRDefault="00C02794" w:rsidP="00871183">
      <w:pPr>
        <w:pStyle w:val="Text1"/>
        <w:spacing w:after="0"/>
        <w:ind w:left="0"/>
        <w:rPr>
          <w:spacing w:val="-3"/>
          <w:sz w:val="22"/>
          <w:szCs w:val="22"/>
        </w:rPr>
      </w:pPr>
      <w:r w:rsidRPr="00107576">
        <w:rPr>
          <w:spacing w:val="-3"/>
          <w:sz w:val="22"/>
          <w:u w:val="single"/>
        </w:rPr>
        <w:t>Pertinence et valeur ajoutée européenne</w:t>
      </w:r>
      <w:r w:rsidRPr="00107576">
        <w:rPr>
          <w:spacing w:val="-3"/>
          <w:sz w:val="22"/>
        </w:rPr>
        <w:t xml:space="preserve"> (30 points)</w:t>
      </w:r>
    </w:p>
    <w:p w:rsidR="004E4528" w:rsidRPr="00107576" w:rsidRDefault="004E4528" w:rsidP="00871183">
      <w:pPr>
        <w:pStyle w:val="Text1"/>
        <w:spacing w:after="0"/>
        <w:ind w:left="0"/>
        <w:rPr>
          <w:spacing w:val="-3"/>
          <w:sz w:val="22"/>
          <w:szCs w:val="22"/>
        </w:rPr>
      </w:pPr>
    </w:p>
    <w:p w:rsidR="00A12485" w:rsidRPr="00107576" w:rsidRDefault="00C02794" w:rsidP="001337F5">
      <w:pPr>
        <w:pStyle w:val="Text1"/>
        <w:ind w:left="0"/>
        <w:rPr>
          <w:spacing w:val="-3"/>
          <w:sz w:val="22"/>
          <w:szCs w:val="22"/>
        </w:rPr>
      </w:pPr>
      <w:r w:rsidRPr="00107576">
        <w:rPr>
          <w:sz w:val="22"/>
        </w:rPr>
        <w:t>Ce critère évalue la pertinence du contenu de l’action par rapport aux objectifs de l’appel à propositions. Il évaluera, en particulier, la pertinence des films proposés dans le catalogue, ainsi que la capacité à mettre en œuvre le projet à l’échelle européenne et à atteindre les publics ciblés.</w:t>
      </w:r>
    </w:p>
    <w:p w:rsidR="008C0A13" w:rsidRPr="00107576" w:rsidRDefault="00C02794" w:rsidP="00391C49">
      <w:pPr>
        <w:pStyle w:val="Text1"/>
        <w:spacing w:after="120"/>
        <w:ind w:left="0"/>
        <w:rPr>
          <w:spacing w:val="-3"/>
          <w:sz w:val="22"/>
          <w:szCs w:val="22"/>
        </w:rPr>
      </w:pPr>
      <w:r w:rsidRPr="00107576">
        <w:rPr>
          <w:spacing w:val="-3"/>
          <w:sz w:val="22"/>
          <w:u w:val="single"/>
        </w:rPr>
        <w:t>Qualité du contenu et des activités</w:t>
      </w:r>
      <w:r w:rsidRPr="00107576">
        <w:rPr>
          <w:spacing w:val="-3"/>
          <w:sz w:val="22"/>
        </w:rPr>
        <w:t xml:space="preserve"> (30 points)</w:t>
      </w:r>
    </w:p>
    <w:p w:rsidR="00871183" w:rsidRPr="00107576" w:rsidRDefault="00C02794" w:rsidP="008C0A13">
      <w:pPr>
        <w:pStyle w:val="Text1"/>
        <w:spacing w:after="0"/>
        <w:ind w:left="0"/>
        <w:rPr>
          <w:kern w:val="32"/>
          <w:sz w:val="22"/>
          <w:szCs w:val="22"/>
        </w:rPr>
      </w:pPr>
      <w:r w:rsidRPr="00107576">
        <w:rPr>
          <w:kern w:val="32"/>
          <w:sz w:val="22"/>
        </w:rPr>
        <w:t>Ce critère évalue la qualité globale du projet, ainsi que sa faisabilité, notamment les caractéristiques du catalogue et du matériel pédagogique, l’utilisation stratégique de la technologie numérique et de différentes plateformes de distribution pour atteindre les publics ciblés, ainsi que le modèle de consommation proposé.</w:t>
      </w:r>
    </w:p>
    <w:p w:rsidR="001337F5" w:rsidRPr="00107576" w:rsidRDefault="001337F5" w:rsidP="008C0A13">
      <w:pPr>
        <w:pStyle w:val="Text1"/>
        <w:spacing w:after="0"/>
        <w:ind w:left="0"/>
        <w:rPr>
          <w:spacing w:val="-3"/>
          <w:sz w:val="22"/>
          <w:szCs w:val="22"/>
        </w:rPr>
      </w:pPr>
    </w:p>
    <w:p w:rsidR="008C0A13" w:rsidRPr="00107576" w:rsidRDefault="00C02794" w:rsidP="00871183">
      <w:pPr>
        <w:pStyle w:val="Text1"/>
        <w:spacing w:after="120"/>
        <w:ind w:left="0"/>
        <w:rPr>
          <w:spacing w:val="-3"/>
          <w:sz w:val="22"/>
          <w:szCs w:val="22"/>
        </w:rPr>
      </w:pPr>
      <w:r w:rsidRPr="00107576">
        <w:rPr>
          <w:sz w:val="22"/>
          <w:u w:val="single"/>
        </w:rPr>
        <w:t>Diffusion des résultats du projet, incidence et durabilité</w:t>
      </w:r>
      <w:r w:rsidRPr="00107576">
        <w:rPr>
          <w:sz w:val="22"/>
        </w:rPr>
        <w:t xml:space="preserve"> (20 points)</w:t>
      </w:r>
    </w:p>
    <w:p w:rsidR="00391C49" w:rsidRPr="00107576" w:rsidRDefault="00C02794" w:rsidP="00391C49">
      <w:pPr>
        <w:tabs>
          <w:tab w:val="left" w:pos="4536"/>
        </w:tabs>
        <w:jc w:val="both"/>
        <w:rPr>
          <w:kern w:val="32"/>
          <w:sz w:val="22"/>
          <w:szCs w:val="22"/>
        </w:rPr>
      </w:pPr>
      <w:r w:rsidRPr="00107576">
        <w:rPr>
          <w:kern w:val="32"/>
          <w:sz w:val="22"/>
        </w:rPr>
        <w:t>Ce critère évalue les stratégies proposées pour diffuser le projet auprès des écoles ciblées ainsi que du grand public.</w:t>
      </w:r>
    </w:p>
    <w:p w:rsidR="001337F5" w:rsidRPr="00107576" w:rsidRDefault="001337F5" w:rsidP="00391C49">
      <w:pPr>
        <w:tabs>
          <w:tab w:val="left" w:pos="4536"/>
        </w:tabs>
        <w:jc w:val="both"/>
        <w:rPr>
          <w:kern w:val="32"/>
          <w:sz w:val="22"/>
          <w:szCs w:val="22"/>
        </w:rPr>
      </w:pPr>
    </w:p>
    <w:p w:rsidR="008C0A13" w:rsidRPr="00107576" w:rsidRDefault="00C02794" w:rsidP="00391C49">
      <w:pPr>
        <w:tabs>
          <w:tab w:val="left" w:pos="4536"/>
        </w:tabs>
        <w:jc w:val="both"/>
        <w:rPr>
          <w:kern w:val="32"/>
          <w:sz w:val="22"/>
          <w:szCs w:val="22"/>
          <w:u w:val="single"/>
        </w:rPr>
      </w:pPr>
      <w:r w:rsidRPr="00107576">
        <w:rPr>
          <w:kern w:val="32"/>
          <w:sz w:val="22"/>
          <w:u w:val="single"/>
        </w:rPr>
        <w:t>Qualité de l’équipe du projet et du groupement (20 points)</w:t>
      </w:r>
    </w:p>
    <w:p w:rsidR="00A51377" w:rsidRPr="00107576" w:rsidRDefault="00A51377" w:rsidP="00391C49">
      <w:pPr>
        <w:tabs>
          <w:tab w:val="left" w:pos="4536"/>
        </w:tabs>
        <w:jc w:val="both"/>
        <w:rPr>
          <w:kern w:val="32"/>
          <w:sz w:val="22"/>
          <w:szCs w:val="22"/>
          <w:u w:val="single"/>
        </w:rPr>
      </w:pPr>
    </w:p>
    <w:p w:rsidR="00871183" w:rsidRPr="00107576" w:rsidRDefault="00C02794" w:rsidP="001337F5">
      <w:pPr>
        <w:pStyle w:val="Text1"/>
        <w:spacing w:after="0"/>
        <w:ind w:left="0"/>
        <w:rPr>
          <w:sz w:val="22"/>
          <w:szCs w:val="22"/>
        </w:rPr>
      </w:pPr>
      <w:r w:rsidRPr="00107576">
        <w:rPr>
          <w:kern w:val="32"/>
          <w:sz w:val="22"/>
        </w:rPr>
        <w:t>Ce critère tiendra compte de la portée du partenariat et de l’échange des connaissances au sein du partenariat, ainsi que de la répartition des rôles et des responsabilités par rapport aux objectifs de l’action.</w:t>
      </w:r>
    </w:p>
    <w:p w:rsidR="0048665C" w:rsidRPr="00107576" w:rsidRDefault="00C02794" w:rsidP="00917608">
      <w:pPr>
        <w:pStyle w:val="Heading1"/>
        <w:rPr>
          <w:sz w:val="22"/>
          <w:szCs w:val="22"/>
        </w:rPr>
      </w:pPr>
      <w:r w:rsidRPr="00107576">
        <w:rPr>
          <w:sz w:val="22"/>
        </w:rPr>
        <w:t xml:space="preserve">Budget </w:t>
      </w:r>
    </w:p>
    <w:p w:rsidR="00107576" w:rsidRPr="00107576" w:rsidRDefault="00107576" w:rsidP="00107576">
      <w:pPr>
        <w:jc w:val="both"/>
        <w:rPr>
          <w:spacing w:val="-3"/>
          <w:sz w:val="22"/>
          <w:lang w:val="fr-BE"/>
        </w:rPr>
      </w:pPr>
      <w:r w:rsidRPr="00107576">
        <w:rPr>
          <w:spacing w:val="-3"/>
          <w:sz w:val="22"/>
          <w:lang w:val="fr-BE"/>
        </w:rPr>
        <w:t xml:space="preserve">Le budget total disponible s’élève à 1 million d’euros. </w:t>
      </w:r>
    </w:p>
    <w:p w:rsidR="00107576" w:rsidRPr="00107576" w:rsidRDefault="00107576" w:rsidP="00107576">
      <w:pPr>
        <w:jc w:val="both"/>
        <w:rPr>
          <w:spacing w:val="-3"/>
          <w:sz w:val="22"/>
          <w:lang w:val="fr-BE"/>
        </w:rPr>
      </w:pPr>
    </w:p>
    <w:p w:rsidR="004C5BE1" w:rsidRPr="00107576" w:rsidRDefault="00107576" w:rsidP="00107576">
      <w:pPr>
        <w:jc w:val="both"/>
        <w:rPr>
          <w:rFonts w:eastAsia="Arial Unicode MS"/>
          <w:sz w:val="22"/>
          <w:szCs w:val="22"/>
          <w:lang w:val="fr-BE"/>
        </w:rPr>
      </w:pPr>
      <w:r w:rsidRPr="00107576">
        <w:rPr>
          <w:spacing w:val="-3"/>
          <w:sz w:val="22"/>
          <w:lang w:val="fr-BE"/>
        </w:rPr>
        <w:t>La contribution financièr</w:t>
      </w:r>
      <w:r w:rsidR="001C3E36">
        <w:rPr>
          <w:spacing w:val="-3"/>
          <w:sz w:val="22"/>
          <w:lang w:val="fr-BE"/>
        </w:rPr>
        <w:t>e de l’Union ne peut excéder 80</w:t>
      </w:r>
      <w:r w:rsidRPr="00107576">
        <w:rPr>
          <w:spacing w:val="-3"/>
          <w:sz w:val="22"/>
          <w:lang w:val="fr-BE"/>
        </w:rPr>
        <w:t>% des coûts éligibles totaux de l’action</w:t>
      </w:r>
      <w:r w:rsidR="00C02794" w:rsidRPr="00107576">
        <w:rPr>
          <w:sz w:val="22"/>
          <w:lang w:val="fr-BE"/>
        </w:rPr>
        <w:t xml:space="preserve">. </w:t>
      </w:r>
    </w:p>
    <w:p w:rsidR="004C5BE1" w:rsidRPr="00107576" w:rsidRDefault="004C5BE1" w:rsidP="004C5BE1">
      <w:pPr>
        <w:jc w:val="both"/>
        <w:rPr>
          <w:rFonts w:eastAsia="Arial Unicode MS"/>
          <w:sz w:val="22"/>
          <w:szCs w:val="22"/>
          <w:lang w:val="fr-BE"/>
        </w:rPr>
      </w:pPr>
    </w:p>
    <w:p w:rsidR="00107576" w:rsidRPr="00107576" w:rsidRDefault="00107576" w:rsidP="00107576">
      <w:pPr>
        <w:pStyle w:val="Heading1"/>
        <w:rPr>
          <w:sz w:val="22"/>
          <w:szCs w:val="22"/>
        </w:rPr>
      </w:pPr>
      <w:r w:rsidRPr="00107576">
        <w:rPr>
          <w:sz w:val="22"/>
          <w:szCs w:val="22"/>
        </w:rPr>
        <w:t>Date limite pour le dépôt des candidatures</w:t>
      </w:r>
    </w:p>
    <w:p w:rsidR="00107576" w:rsidRPr="00107576" w:rsidRDefault="00107576" w:rsidP="00107576">
      <w:pPr>
        <w:autoSpaceDE w:val="0"/>
        <w:autoSpaceDN w:val="0"/>
        <w:adjustRightInd w:val="0"/>
        <w:spacing w:after="240" w:line="276" w:lineRule="auto"/>
        <w:jc w:val="both"/>
        <w:rPr>
          <w:bCs/>
          <w:sz w:val="22"/>
          <w:szCs w:val="22"/>
        </w:rPr>
      </w:pPr>
      <w:r w:rsidRPr="00107576">
        <w:rPr>
          <w:sz w:val="22"/>
          <w:szCs w:val="22"/>
        </w:rPr>
        <w:t xml:space="preserve">Les propositions doivent être remises au plus tard le </w:t>
      </w:r>
      <w:r w:rsidRPr="00107576">
        <w:rPr>
          <w:b/>
          <w:sz w:val="22"/>
          <w:szCs w:val="22"/>
        </w:rPr>
        <w:t xml:space="preserve">7 mars 2019 à 12h00 </w:t>
      </w:r>
      <w:r w:rsidRPr="00107576">
        <w:rPr>
          <w:sz w:val="22"/>
          <w:szCs w:val="22"/>
        </w:rPr>
        <w:t>(</w:t>
      </w:r>
      <w:r w:rsidRPr="00107576">
        <w:rPr>
          <w:color w:val="000000"/>
          <w:sz w:val="22"/>
          <w:szCs w:val="22"/>
        </w:rPr>
        <w:t>heure de Bruxelles</w:t>
      </w:r>
      <w:r w:rsidRPr="00107576">
        <w:rPr>
          <w:sz w:val="22"/>
          <w:szCs w:val="22"/>
        </w:rPr>
        <w:t>), en utilisant le formulaire de candidature en ligne (</w:t>
      </w:r>
      <w:proofErr w:type="spellStart"/>
      <w:r w:rsidRPr="00107576">
        <w:rPr>
          <w:sz w:val="22"/>
          <w:szCs w:val="22"/>
        </w:rPr>
        <w:t>eForm</w:t>
      </w:r>
      <w:proofErr w:type="spellEnd"/>
      <w:r w:rsidRPr="00107576">
        <w:rPr>
          <w:sz w:val="22"/>
          <w:szCs w:val="22"/>
        </w:rPr>
        <w:t>)</w:t>
      </w:r>
      <w:r w:rsidRPr="00107576">
        <w:rPr>
          <w:bCs/>
          <w:sz w:val="22"/>
          <w:szCs w:val="22"/>
        </w:rPr>
        <w:t>. Aucune autre méthode de soumission des candidatures ne sera acceptée.</w:t>
      </w:r>
    </w:p>
    <w:p w:rsidR="00107576" w:rsidRPr="00107576" w:rsidRDefault="00107576" w:rsidP="00107576">
      <w:pPr>
        <w:autoSpaceDE w:val="0"/>
        <w:autoSpaceDN w:val="0"/>
        <w:adjustRightInd w:val="0"/>
        <w:spacing w:after="120" w:line="276" w:lineRule="auto"/>
        <w:jc w:val="both"/>
        <w:rPr>
          <w:bCs/>
          <w:sz w:val="22"/>
          <w:szCs w:val="22"/>
        </w:rPr>
      </w:pPr>
      <w:r w:rsidRPr="00107576">
        <w:rPr>
          <w:rFonts w:eastAsia="Arial Unicode MS"/>
          <w:sz w:val="22"/>
          <w:szCs w:val="22"/>
        </w:rPr>
        <w:t>Les candidats doivent veiller à ce que tous les documents requis et mentionnés dans le formulaire électronique soient joints à ce dernier</w:t>
      </w:r>
      <w:r w:rsidRPr="00107576">
        <w:rPr>
          <w:bCs/>
          <w:sz w:val="22"/>
          <w:szCs w:val="22"/>
        </w:rPr>
        <w:t>.</w:t>
      </w:r>
    </w:p>
    <w:p w:rsidR="00107576" w:rsidRPr="00107576" w:rsidRDefault="00107576" w:rsidP="00107576">
      <w:pPr>
        <w:pStyle w:val="Heading1"/>
        <w:rPr>
          <w:sz w:val="22"/>
          <w:szCs w:val="22"/>
        </w:rPr>
      </w:pPr>
      <w:r w:rsidRPr="00107576">
        <w:rPr>
          <w:sz w:val="22"/>
          <w:szCs w:val="22"/>
        </w:rPr>
        <w:t>Informations complémentaires</w:t>
      </w:r>
    </w:p>
    <w:p w:rsidR="00D55C5E" w:rsidRPr="00107576" w:rsidRDefault="00107576" w:rsidP="00107576">
      <w:pPr>
        <w:pStyle w:val="Text1"/>
        <w:ind w:left="0"/>
        <w:rPr>
          <w:sz w:val="22"/>
          <w:szCs w:val="22"/>
          <w:lang w:val="fr-BE"/>
        </w:rPr>
      </w:pPr>
      <w:r w:rsidRPr="00107576">
        <w:rPr>
          <w:sz w:val="22"/>
          <w:szCs w:val="22"/>
        </w:rPr>
        <w:t>Le texte complet des lignes directrices, ainsi que les formulaires de candidature, sont disponibles à l’adresse Internet suivante</w:t>
      </w:r>
      <w:r w:rsidR="00C02794" w:rsidRPr="00107576">
        <w:rPr>
          <w:sz w:val="22"/>
          <w:lang w:val="fr-BE"/>
        </w:rPr>
        <w:t>:</w:t>
      </w:r>
    </w:p>
    <w:p w:rsidR="00C3529D" w:rsidRPr="001C3E36" w:rsidRDefault="00644FEA" w:rsidP="00DA688A">
      <w:pPr>
        <w:spacing w:after="100" w:afterAutospacing="1"/>
        <w:rPr>
          <w:rFonts w:eastAsia="Calibri"/>
          <w:sz w:val="22"/>
          <w:szCs w:val="22"/>
          <w:lang w:val="fr-BE"/>
        </w:rPr>
      </w:pPr>
      <w:hyperlink r:id="rId11" w:history="1">
        <w:r w:rsidR="00BB363C" w:rsidRPr="001C3E36">
          <w:rPr>
            <w:rStyle w:val="Hyperlink"/>
            <w:color w:val="auto"/>
            <w:sz w:val="22"/>
            <w:lang w:val="fr-BE"/>
          </w:rPr>
          <w:t>https://eacea.ec.europa.eu/creative-europe/funding/support-for-film-education-2019_en</w:t>
        </w:r>
      </w:hyperlink>
    </w:p>
    <w:p w:rsidR="00DA688A" w:rsidRPr="001C3E36" w:rsidRDefault="00DA688A" w:rsidP="00DA688A">
      <w:pPr>
        <w:pStyle w:val="Text1"/>
        <w:spacing w:after="100" w:afterAutospacing="1"/>
        <w:ind w:left="0"/>
        <w:rPr>
          <w:sz w:val="22"/>
          <w:szCs w:val="22"/>
          <w:lang w:val="fr-BE"/>
        </w:rPr>
      </w:pPr>
    </w:p>
    <w:p w:rsidR="00107576" w:rsidRPr="00F47F2A" w:rsidRDefault="00107576" w:rsidP="00107576">
      <w:pPr>
        <w:pStyle w:val="Text1"/>
        <w:ind w:left="0"/>
        <w:rPr>
          <w:sz w:val="22"/>
          <w:szCs w:val="22"/>
        </w:rPr>
      </w:pPr>
      <w:r w:rsidRPr="00107576">
        <w:rPr>
          <w:sz w:val="22"/>
          <w:szCs w:val="22"/>
        </w:rPr>
        <w:t>Seules les candidatures qui satisfont aux critères d'éligibilité seront prises en compte pour l'octroi d'une subvention. Si une candidature n'est pas jugée recevable, un courrier en indiquant les raisons sera adressé au candidat.</w:t>
      </w:r>
    </w:p>
    <w:p w:rsidR="0096458A" w:rsidRPr="00107576" w:rsidRDefault="0096458A" w:rsidP="00DA688A">
      <w:pPr>
        <w:pStyle w:val="Text1"/>
        <w:spacing w:after="100" w:afterAutospacing="1"/>
        <w:ind w:left="0"/>
        <w:rPr>
          <w:sz w:val="22"/>
          <w:szCs w:val="22"/>
        </w:rPr>
      </w:pPr>
    </w:p>
    <w:p w:rsidR="003A3F2C" w:rsidRPr="00107576" w:rsidRDefault="003A3F2C" w:rsidP="0096458A">
      <w:pPr>
        <w:tabs>
          <w:tab w:val="left" w:pos="360"/>
        </w:tabs>
        <w:suppressAutoHyphens/>
        <w:jc w:val="both"/>
        <w:rPr>
          <w:sz w:val="22"/>
          <w:szCs w:val="22"/>
          <w:lang w:val="fr-BE"/>
        </w:rPr>
      </w:pPr>
    </w:p>
    <w:sectPr w:rsidR="003A3F2C" w:rsidRPr="00107576"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1AB" w:rsidRDefault="00C02794">
      <w:r>
        <w:separator/>
      </w:r>
    </w:p>
  </w:endnote>
  <w:endnote w:type="continuationSeparator" w:id="0">
    <w:p w:rsidR="00A211AB" w:rsidRDefault="00C02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1451A1" w:rsidRDefault="00C02794">
    <w:pPr>
      <w:pStyle w:val="Footer"/>
      <w:jc w:val="center"/>
    </w:pPr>
    <w:r w:rsidRPr="001451A1">
      <w:fldChar w:fldCharType="begin"/>
    </w:r>
    <w:r w:rsidRPr="001451A1">
      <w:instrText>PAGE</w:instrText>
    </w:r>
    <w:r w:rsidRPr="001451A1">
      <w:fldChar w:fldCharType="separate"/>
    </w:r>
    <w:r w:rsidR="00644FEA">
      <w:rPr>
        <w:noProof/>
      </w:rPr>
      <w:t>3</w:t>
    </w:r>
    <w:r w:rsidRPr="001451A1">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088" w:rsidRPr="001451A1" w:rsidRDefault="00C02794">
      <w:r w:rsidRPr="001451A1">
        <w:separator/>
      </w:r>
    </w:p>
  </w:footnote>
  <w:footnote w:type="continuationSeparator" w:id="0">
    <w:p w:rsidR="004C5088" w:rsidRPr="001451A1" w:rsidRDefault="00C02794">
      <w:r w:rsidRPr="001451A1">
        <w:continuationSeparator/>
      </w:r>
    </w:p>
  </w:footnote>
  <w:footnote w:id="1">
    <w:p w:rsidR="00107576" w:rsidRPr="00E55710" w:rsidRDefault="00107576" w:rsidP="00107576">
      <w:pPr>
        <w:pStyle w:val="FootnoteText"/>
        <w:rPr>
          <w:sz w:val="18"/>
          <w:szCs w:val="18"/>
        </w:rPr>
      </w:pPr>
      <w:r>
        <w:rPr>
          <w:rStyle w:val="FootnoteReference"/>
        </w:rPr>
        <w:footnoteRef/>
      </w:r>
      <w:r w:rsidRPr="00E55710">
        <w:rPr>
          <w:rFonts w:eastAsia="Arial Unicode MS"/>
        </w:rPr>
        <w:t xml:space="preserve"> </w:t>
      </w:r>
      <w:r w:rsidRPr="00B32ED5">
        <w:rPr>
          <w:rFonts w:eastAsia="Arial Unicode MS"/>
          <w:sz w:val="18"/>
          <w:szCs w:val="18"/>
        </w:rPr>
        <w:t>Publié au Journal Officiel de l'Union Européenne du 20/12/2013 (</w:t>
      </w:r>
      <w:r w:rsidR="001C3E36">
        <w:rPr>
          <w:rFonts w:eastAsia="Arial Unicode MS"/>
          <w:sz w:val="18"/>
          <w:szCs w:val="18"/>
        </w:rPr>
        <w:t>JO L347/221) et du 27/06/2014 (</w:t>
      </w:r>
      <w:r w:rsidRPr="00B32ED5">
        <w:rPr>
          <w:rFonts w:eastAsia="Arial Unicode MS"/>
          <w:sz w:val="18"/>
          <w:szCs w:val="18"/>
        </w:rPr>
        <w:t>JO L189/260)</w:t>
      </w:r>
      <w:r>
        <w:rPr>
          <w:rFonts w:eastAsia="Arial Unicode MS"/>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1451A1"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25B66AC"/>
    <w:multiLevelType w:val="hybridMultilevel"/>
    <w:tmpl w:val="539AD514"/>
    <w:lvl w:ilvl="0" w:tplc="0E74D012">
      <w:numFmt w:val="bullet"/>
      <w:lvlText w:val="−"/>
      <w:lvlJc w:val="left"/>
      <w:pPr>
        <w:ind w:left="720" w:hanging="360"/>
      </w:pPr>
      <w:rPr>
        <w:rFonts w:ascii="Times" w:eastAsia="Times New Roman" w:hAnsi="Time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81D18DB"/>
    <w:multiLevelType w:val="hybridMultilevel"/>
    <w:tmpl w:val="E752C2B8"/>
    <w:lvl w:ilvl="0" w:tplc="DCA8B6B4">
      <w:start w:val="1"/>
      <w:numFmt w:val="bullet"/>
      <w:lvlText w:val=""/>
      <w:lvlJc w:val="left"/>
      <w:pPr>
        <w:ind w:left="720" w:hanging="360"/>
      </w:pPr>
      <w:rPr>
        <w:rFonts w:ascii="Symbol" w:hAnsi="Symbol" w:hint="default"/>
      </w:rPr>
    </w:lvl>
    <w:lvl w:ilvl="1" w:tplc="CA560444" w:tentative="1">
      <w:start w:val="1"/>
      <w:numFmt w:val="bullet"/>
      <w:lvlText w:val="o"/>
      <w:lvlJc w:val="left"/>
      <w:pPr>
        <w:ind w:left="1440" w:hanging="360"/>
      </w:pPr>
      <w:rPr>
        <w:rFonts w:ascii="Courier New" w:hAnsi="Courier New" w:cs="Courier New" w:hint="default"/>
      </w:rPr>
    </w:lvl>
    <w:lvl w:ilvl="2" w:tplc="E496E27A" w:tentative="1">
      <w:start w:val="1"/>
      <w:numFmt w:val="bullet"/>
      <w:lvlText w:val=""/>
      <w:lvlJc w:val="left"/>
      <w:pPr>
        <w:ind w:left="2160" w:hanging="360"/>
      </w:pPr>
      <w:rPr>
        <w:rFonts w:ascii="Wingdings" w:hAnsi="Wingdings" w:hint="default"/>
      </w:rPr>
    </w:lvl>
    <w:lvl w:ilvl="3" w:tplc="FC82B37A" w:tentative="1">
      <w:start w:val="1"/>
      <w:numFmt w:val="bullet"/>
      <w:lvlText w:val=""/>
      <w:lvlJc w:val="left"/>
      <w:pPr>
        <w:ind w:left="2880" w:hanging="360"/>
      </w:pPr>
      <w:rPr>
        <w:rFonts w:ascii="Symbol" w:hAnsi="Symbol" w:hint="default"/>
      </w:rPr>
    </w:lvl>
    <w:lvl w:ilvl="4" w:tplc="F6E6851C" w:tentative="1">
      <w:start w:val="1"/>
      <w:numFmt w:val="bullet"/>
      <w:lvlText w:val="o"/>
      <w:lvlJc w:val="left"/>
      <w:pPr>
        <w:ind w:left="3600" w:hanging="360"/>
      </w:pPr>
      <w:rPr>
        <w:rFonts w:ascii="Courier New" w:hAnsi="Courier New" w:cs="Courier New" w:hint="default"/>
      </w:rPr>
    </w:lvl>
    <w:lvl w:ilvl="5" w:tplc="09BA75E4" w:tentative="1">
      <w:start w:val="1"/>
      <w:numFmt w:val="bullet"/>
      <w:lvlText w:val=""/>
      <w:lvlJc w:val="left"/>
      <w:pPr>
        <w:ind w:left="4320" w:hanging="360"/>
      </w:pPr>
      <w:rPr>
        <w:rFonts w:ascii="Wingdings" w:hAnsi="Wingdings" w:hint="default"/>
      </w:rPr>
    </w:lvl>
    <w:lvl w:ilvl="6" w:tplc="17B023BC" w:tentative="1">
      <w:start w:val="1"/>
      <w:numFmt w:val="bullet"/>
      <w:lvlText w:val=""/>
      <w:lvlJc w:val="left"/>
      <w:pPr>
        <w:ind w:left="5040" w:hanging="360"/>
      </w:pPr>
      <w:rPr>
        <w:rFonts w:ascii="Symbol" w:hAnsi="Symbol" w:hint="default"/>
      </w:rPr>
    </w:lvl>
    <w:lvl w:ilvl="7" w:tplc="4B28B784" w:tentative="1">
      <w:start w:val="1"/>
      <w:numFmt w:val="bullet"/>
      <w:lvlText w:val="o"/>
      <w:lvlJc w:val="left"/>
      <w:pPr>
        <w:ind w:left="5760" w:hanging="360"/>
      </w:pPr>
      <w:rPr>
        <w:rFonts w:ascii="Courier New" w:hAnsi="Courier New" w:cs="Courier New" w:hint="default"/>
      </w:rPr>
    </w:lvl>
    <w:lvl w:ilvl="8" w:tplc="B0682118" w:tentative="1">
      <w:start w:val="1"/>
      <w:numFmt w:val="bullet"/>
      <w:lvlText w:val=""/>
      <w:lvlJc w:val="left"/>
      <w:pPr>
        <w:ind w:left="6480" w:hanging="360"/>
      </w:pPr>
      <w:rPr>
        <w:rFonts w:ascii="Wingdings" w:hAnsi="Wingdings" w:hint="default"/>
      </w:r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391B7A0E"/>
    <w:multiLevelType w:val="hybridMultilevel"/>
    <w:tmpl w:val="81840D6E"/>
    <w:lvl w:ilvl="0" w:tplc="B7B2D34E">
      <w:numFmt w:val="bullet"/>
      <w:lvlText w:val="−"/>
      <w:lvlJc w:val="left"/>
      <w:pPr>
        <w:ind w:left="1440" w:hanging="360"/>
      </w:pPr>
      <w:rPr>
        <w:rFonts w:ascii="Times" w:eastAsia="Times New Roman" w:hAnsi="Times" w:cs="Times New Roman" w:hint="default"/>
      </w:rPr>
    </w:lvl>
    <w:lvl w:ilvl="1" w:tplc="F4F638B0">
      <w:start w:val="1"/>
      <w:numFmt w:val="bullet"/>
      <w:lvlText w:val="o"/>
      <w:lvlJc w:val="left"/>
      <w:pPr>
        <w:ind w:left="2160" w:hanging="360"/>
      </w:pPr>
      <w:rPr>
        <w:rFonts w:ascii="Courier New" w:hAnsi="Courier New" w:cs="Times New Roman" w:hint="default"/>
      </w:rPr>
    </w:lvl>
    <w:lvl w:ilvl="2" w:tplc="4792FFCA">
      <w:start w:val="1"/>
      <w:numFmt w:val="bullet"/>
      <w:lvlText w:val=""/>
      <w:lvlJc w:val="left"/>
      <w:pPr>
        <w:ind w:left="2880" w:hanging="360"/>
      </w:pPr>
      <w:rPr>
        <w:rFonts w:ascii="Wingdings" w:hAnsi="Wingdings" w:hint="default"/>
      </w:rPr>
    </w:lvl>
    <w:lvl w:ilvl="3" w:tplc="8168FE0E">
      <w:start w:val="1"/>
      <w:numFmt w:val="bullet"/>
      <w:lvlText w:val=""/>
      <w:lvlJc w:val="left"/>
      <w:pPr>
        <w:ind w:left="3600" w:hanging="360"/>
      </w:pPr>
      <w:rPr>
        <w:rFonts w:ascii="Symbol" w:hAnsi="Symbol" w:hint="default"/>
      </w:rPr>
    </w:lvl>
    <w:lvl w:ilvl="4" w:tplc="ECFACF7C">
      <w:start w:val="1"/>
      <w:numFmt w:val="bullet"/>
      <w:lvlText w:val="o"/>
      <w:lvlJc w:val="left"/>
      <w:pPr>
        <w:ind w:left="4320" w:hanging="360"/>
      </w:pPr>
      <w:rPr>
        <w:rFonts w:ascii="Courier New" w:hAnsi="Courier New" w:cs="Times New Roman" w:hint="default"/>
      </w:rPr>
    </w:lvl>
    <w:lvl w:ilvl="5" w:tplc="6B2E238A">
      <w:start w:val="1"/>
      <w:numFmt w:val="bullet"/>
      <w:lvlText w:val=""/>
      <w:lvlJc w:val="left"/>
      <w:pPr>
        <w:ind w:left="5040" w:hanging="360"/>
      </w:pPr>
      <w:rPr>
        <w:rFonts w:ascii="Wingdings" w:hAnsi="Wingdings" w:hint="default"/>
      </w:rPr>
    </w:lvl>
    <w:lvl w:ilvl="6" w:tplc="BC7C9978">
      <w:start w:val="1"/>
      <w:numFmt w:val="bullet"/>
      <w:lvlText w:val=""/>
      <w:lvlJc w:val="left"/>
      <w:pPr>
        <w:ind w:left="5760" w:hanging="360"/>
      </w:pPr>
      <w:rPr>
        <w:rFonts w:ascii="Symbol" w:hAnsi="Symbol" w:hint="default"/>
      </w:rPr>
    </w:lvl>
    <w:lvl w:ilvl="7" w:tplc="2DE2C0B8">
      <w:start w:val="1"/>
      <w:numFmt w:val="bullet"/>
      <w:lvlText w:val="o"/>
      <w:lvlJc w:val="left"/>
      <w:pPr>
        <w:ind w:left="6480" w:hanging="360"/>
      </w:pPr>
      <w:rPr>
        <w:rFonts w:ascii="Courier New" w:hAnsi="Courier New" w:cs="Times New Roman" w:hint="default"/>
      </w:rPr>
    </w:lvl>
    <w:lvl w:ilvl="8" w:tplc="D890CD06">
      <w:start w:val="1"/>
      <w:numFmt w:val="bullet"/>
      <w:lvlText w:val=""/>
      <w:lvlJc w:val="left"/>
      <w:pPr>
        <w:ind w:left="7200" w:hanging="360"/>
      </w:pPr>
      <w:rPr>
        <w:rFonts w:ascii="Wingdings" w:hAnsi="Wingdings" w:hint="default"/>
      </w:rPr>
    </w:lvl>
  </w:abstractNum>
  <w:abstractNum w:abstractNumId="6">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5A81597E"/>
    <w:multiLevelType w:val="hybridMultilevel"/>
    <w:tmpl w:val="01E60D0E"/>
    <w:lvl w:ilvl="0" w:tplc="EB444B7A">
      <w:start w:val="1"/>
      <w:numFmt w:val="bullet"/>
      <w:lvlText w:val=""/>
      <w:lvlJc w:val="left"/>
      <w:pPr>
        <w:tabs>
          <w:tab w:val="num" w:pos="360"/>
        </w:tabs>
        <w:ind w:left="360" w:hanging="360"/>
      </w:pPr>
      <w:rPr>
        <w:rFonts w:ascii="Symbol" w:hAnsi="Symbol" w:hint="default"/>
      </w:rPr>
    </w:lvl>
    <w:lvl w:ilvl="1" w:tplc="F308233C" w:tentative="1">
      <w:start w:val="1"/>
      <w:numFmt w:val="bullet"/>
      <w:lvlText w:val="o"/>
      <w:lvlJc w:val="left"/>
      <w:pPr>
        <w:tabs>
          <w:tab w:val="num" w:pos="1080"/>
        </w:tabs>
        <w:ind w:left="1080" w:hanging="360"/>
      </w:pPr>
      <w:rPr>
        <w:rFonts w:ascii="Courier New" w:hAnsi="Courier New" w:cs="Courier New" w:hint="default"/>
      </w:rPr>
    </w:lvl>
    <w:lvl w:ilvl="2" w:tplc="FD60D7AE" w:tentative="1">
      <w:start w:val="1"/>
      <w:numFmt w:val="bullet"/>
      <w:lvlText w:val=""/>
      <w:lvlJc w:val="left"/>
      <w:pPr>
        <w:tabs>
          <w:tab w:val="num" w:pos="1800"/>
        </w:tabs>
        <w:ind w:left="1800" w:hanging="360"/>
      </w:pPr>
      <w:rPr>
        <w:rFonts w:ascii="Wingdings" w:hAnsi="Wingdings" w:hint="default"/>
      </w:rPr>
    </w:lvl>
    <w:lvl w:ilvl="3" w:tplc="D4009E58" w:tentative="1">
      <w:start w:val="1"/>
      <w:numFmt w:val="bullet"/>
      <w:lvlText w:val=""/>
      <w:lvlJc w:val="left"/>
      <w:pPr>
        <w:tabs>
          <w:tab w:val="num" w:pos="2520"/>
        </w:tabs>
        <w:ind w:left="2520" w:hanging="360"/>
      </w:pPr>
      <w:rPr>
        <w:rFonts w:ascii="Symbol" w:hAnsi="Symbol" w:hint="default"/>
      </w:rPr>
    </w:lvl>
    <w:lvl w:ilvl="4" w:tplc="1B04CBE4" w:tentative="1">
      <w:start w:val="1"/>
      <w:numFmt w:val="bullet"/>
      <w:lvlText w:val="o"/>
      <w:lvlJc w:val="left"/>
      <w:pPr>
        <w:tabs>
          <w:tab w:val="num" w:pos="3240"/>
        </w:tabs>
        <w:ind w:left="3240" w:hanging="360"/>
      </w:pPr>
      <w:rPr>
        <w:rFonts w:ascii="Courier New" w:hAnsi="Courier New" w:cs="Courier New" w:hint="default"/>
      </w:rPr>
    </w:lvl>
    <w:lvl w:ilvl="5" w:tplc="6F5A35C6" w:tentative="1">
      <w:start w:val="1"/>
      <w:numFmt w:val="bullet"/>
      <w:lvlText w:val=""/>
      <w:lvlJc w:val="left"/>
      <w:pPr>
        <w:tabs>
          <w:tab w:val="num" w:pos="3960"/>
        </w:tabs>
        <w:ind w:left="3960" w:hanging="360"/>
      </w:pPr>
      <w:rPr>
        <w:rFonts w:ascii="Wingdings" w:hAnsi="Wingdings" w:hint="default"/>
      </w:rPr>
    </w:lvl>
    <w:lvl w:ilvl="6" w:tplc="44CCCA26" w:tentative="1">
      <w:start w:val="1"/>
      <w:numFmt w:val="bullet"/>
      <w:lvlText w:val=""/>
      <w:lvlJc w:val="left"/>
      <w:pPr>
        <w:tabs>
          <w:tab w:val="num" w:pos="4680"/>
        </w:tabs>
        <w:ind w:left="4680" w:hanging="360"/>
      </w:pPr>
      <w:rPr>
        <w:rFonts w:ascii="Symbol" w:hAnsi="Symbol" w:hint="default"/>
      </w:rPr>
    </w:lvl>
    <w:lvl w:ilvl="7" w:tplc="A87AE2F2" w:tentative="1">
      <w:start w:val="1"/>
      <w:numFmt w:val="bullet"/>
      <w:lvlText w:val="o"/>
      <w:lvlJc w:val="left"/>
      <w:pPr>
        <w:tabs>
          <w:tab w:val="num" w:pos="5400"/>
        </w:tabs>
        <w:ind w:left="5400" w:hanging="360"/>
      </w:pPr>
      <w:rPr>
        <w:rFonts w:ascii="Courier New" w:hAnsi="Courier New" w:cs="Courier New" w:hint="default"/>
      </w:rPr>
    </w:lvl>
    <w:lvl w:ilvl="8" w:tplc="F29CF58E" w:tentative="1">
      <w:start w:val="1"/>
      <w:numFmt w:val="bullet"/>
      <w:lvlText w:val=""/>
      <w:lvlJc w:val="left"/>
      <w:pPr>
        <w:tabs>
          <w:tab w:val="num" w:pos="6120"/>
        </w:tabs>
        <w:ind w:left="6120" w:hanging="360"/>
      </w:pPr>
      <w:rPr>
        <w:rFonts w:ascii="Wingdings" w:hAnsi="Wingdings" w:hint="default"/>
      </w:rPr>
    </w:lvl>
  </w:abstractNum>
  <w:abstractNum w:abstractNumId="8">
    <w:nsid w:val="5C8B0F40"/>
    <w:multiLevelType w:val="hybridMultilevel"/>
    <w:tmpl w:val="BB52D7F8"/>
    <w:lvl w:ilvl="0" w:tplc="35B4C1D6">
      <w:start w:val="1"/>
      <w:numFmt w:val="bullet"/>
      <w:lvlText w:val=""/>
      <w:lvlJc w:val="left"/>
      <w:pPr>
        <w:ind w:left="786" w:hanging="360"/>
      </w:pPr>
      <w:rPr>
        <w:rFonts w:ascii="Symbol" w:hAnsi="Symbol" w:hint="default"/>
      </w:rPr>
    </w:lvl>
    <w:lvl w:ilvl="1" w:tplc="DF045326" w:tentative="1">
      <w:start w:val="1"/>
      <w:numFmt w:val="bullet"/>
      <w:lvlText w:val="o"/>
      <w:lvlJc w:val="left"/>
      <w:pPr>
        <w:ind w:left="1506" w:hanging="360"/>
      </w:pPr>
      <w:rPr>
        <w:rFonts w:ascii="Courier New" w:hAnsi="Courier New" w:cs="Courier New" w:hint="default"/>
      </w:rPr>
    </w:lvl>
    <w:lvl w:ilvl="2" w:tplc="3D58A6DE" w:tentative="1">
      <w:start w:val="1"/>
      <w:numFmt w:val="bullet"/>
      <w:lvlText w:val=""/>
      <w:lvlJc w:val="left"/>
      <w:pPr>
        <w:ind w:left="2226" w:hanging="360"/>
      </w:pPr>
      <w:rPr>
        <w:rFonts w:ascii="Wingdings" w:hAnsi="Wingdings" w:hint="default"/>
      </w:rPr>
    </w:lvl>
    <w:lvl w:ilvl="3" w:tplc="3CB0AE98" w:tentative="1">
      <w:start w:val="1"/>
      <w:numFmt w:val="bullet"/>
      <w:lvlText w:val=""/>
      <w:lvlJc w:val="left"/>
      <w:pPr>
        <w:ind w:left="2946" w:hanging="360"/>
      </w:pPr>
      <w:rPr>
        <w:rFonts w:ascii="Symbol" w:hAnsi="Symbol" w:hint="default"/>
      </w:rPr>
    </w:lvl>
    <w:lvl w:ilvl="4" w:tplc="AF9C6FDE" w:tentative="1">
      <w:start w:val="1"/>
      <w:numFmt w:val="bullet"/>
      <w:lvlText w:val="o"/>
      <w:lvlJc w:val="left"/>
      <w:pPr>
        <w:ind w:left="3666" w:hanging="360"/>
      </w:pPr>
      <w:rPr>
        <w:rFonts w:ascii="Courier New" w:hAnsi="Courier New" w:cs="Courier New" w:hint="default"/>
      </w:rPr>
    </w:lvl>
    <w:lvl w:ilvl="5" w:tplc="3B30F4EA" w:tentative="1">
      <w:start w:val="1"/>
      <w:numFmt w:val="bullet"/>
      <w:lvlText w:val=""/>
      <w:lvlJc w:val="left"/>
      <w:pPr>
        <w:ind w:left="4386" w:hanging="360"/>
      </w:pPr>
      <w:rPr>
        <w:rFonts w:ascii="Wingdings" w:hAnsi="Wingdings" w:hint="default"/>
      </w:rPr>
    </w:lvl>
    <w:lvl w:ilvl="6" w:tplc="462EB0A6" w:tentative="1">
      <w:start w:val="1"/>
      <w:numFmt w:val="bullet"/>
      <w:lvlText w:val=""/>
      <w:lvlJc w:val="left"/>
      <w:pPr>
        <w:ind w:left="5106" w:hanging="360"/>
      </w:pPr>
      <w:rPr>
        <w:rFonts w:ascii="Symbol" w:hAnsi="Symbol" w:hint="default"/>
      </w:rPr>
    </w:lvl>
    <w:lvl w:ilvl="7" w:tplc="7C82255A" w:tentative="1">
      <w:start w:val="1"/>
      <w:numFmt w:val="bullet"/>
      <w:lvlText w:val="o"/>
      <w:lvlJc w:val="left"/>
      <w:pPr>
        <w:ind w:left="5826" w:hanging="360"/>
      </w:pPr>
      <w:rPr>
        <w:rFonts w:ascii="Courier New" w:hAnsi="Courier New" w:cs="Courier New" w:hint="default"/>
      </w:rPr>
    </w:lvl>
    <w:lvl w:ilvl="8" w:tplc="3904AB82" w:tentative="1">
      <w:start w:val="1"/>
      <w:numFmt w:val="bullet"/>
      <w:lvlText w:val=""/>
      <w:lvlJc w:val="left"/>
      <w:pPr>
        <w:ind w:left="6546" w:hanging="360"/>
      </w:pPr>
      <w:rPr>
        <w:rFonts w:ascii="Wingdings" w:hAnsi="Wingdings" w:hint="default"/>
      </w:rPr>
    </w:lvl>
  </w:abstractNum>
  <w:abstractNum w:abstractNumId="9">
    <w:nsid w:val="5F551D52"/>
    <w:multiLevelType w:val="hybridMultilevel"/>
    <w:tmpl w:val="B4B4D77A"/>
    <w:lvl w:ilvl="0" w:tplc="704C978C">
      <w:numFmt w:val="bullet"/>
      <w:lvlText w:val="-"/>
      <w:lvlJc w:val="left"/>
      <w:pPr>
        <w:ind w:left="720" w:hanging="360"/>
      </w:pPr>
      <w:rPr>
        <w:rFonts w:ascii="Arial" w:eastAsia="Times New Roman" w:hAnsi="Arial" w:cs="Arial" w:hint="default"/>
      </w:rPr>
    </w:lvl>
    <w:lvl w:ilvl="1" w:tplc="7748A360">
      <w:start w:val="1"/>
      <w:numFmt w:val="bullet"/>
      <w:lvlText w:val=""/>
      <w:lvlJc w:val="left"/>
      <w:pPr>
        <w:ind w:left="1440" w:hanging="360"/>
      </w:pPr>
      <w:rPr>
        <w:rFonts w:ascii="Symbol" w:hAnsi="Symbol" w:hint="default"/>
      </w:rPr>
    </w:lvl>
    <w:lvl w:ilvl="2" w:tplc="280CA0DC" w:tentative="1">
      <w:start w:val="1"/>
      <w:numFmt w:val="bullet"/>
      <w:lvlText w:val=""/>
      <w:lvlJc w:val="left"/>
      <w:pPr>
        <w:ind w:left="2160" w:hanging="360"/>
      </w:pPr>
      <w:rPr>
        <w:rFonts w:ascii="Wingdings" w:hAnsi="Wingdings" w:hint="default"/>
      </w:rPr>
    </w:lvl>
    <w:lvl w:ilvl="3" w:tplc="C7E65426" w:tentative="1">
      <w:start w:val="1"/>
      <w:numFmt w:val="bullet"/>
      <w:lvlText w:val=""/>
      <w:lvlJc w:val="left"/>
      <w:pPr>
        <w:ind w:left="2880" w:hanging="360"/>
      </w:pPr>
      <w:rPr>
        <w:rFonts w:ascii="Symbol" w:hAnsi="Symbol" w:hint="default"/>
      </w:rPr>
    </w:lvl>
    <w:lvl w:ilvl="4" w:tplc="8ACC4CEC" w:tentative="1">
      <w:start w:val="1"/>
      <w:numFmt w:val="bullet"/>
      <w:lvlText w:val="o"/>
      <w:lvlJc w:val="left"/>
      <w:pPr>
        <w:ind w:left="3600" w:hanging="360"/>
      </w:pPr>
      <w:rPr>
        <w:rFonts w:ascii="Courier New" w:hAnsi="Courier New" w:cs="Courier New" w:hint="default"/>
      </w:rPr>
    </w:lvl>
    <w:lvl w:ilvl="5" w:tplc="7750D234" w:tentative="1">
      <w:start w:val="1"/>
      <w:numFmt w:val="bullet"/>
      <w:lvlText w:val=""/>
      <w:lvlJc w:val="left"/>
      <w:pPr>
        <w:ind w:left="4320" w:hanging="360"/>
      </w:pPr>
      <w:rPr>
        <w:rFonts w:ascii="Wingdings" w:hAnsi="Wingdings" w:hint="default"/>
      </w:rPr>
    </w:lvl>
    <w:lvl w:ilvl="6" w:tplc="9FDA0AA0" w:tentative="1">
      <w:start w:val="1"/>
      <w:numFmt w:val="bullet"/>
      <w:lvlText w:val=""/>
      <w:lvlJc w:val="left"/>
      <w:pPr>
        <w:ind w:left="5040" w:hanging="360"/>
      </w:pPr>
      <w:rPr>
        <w:rFonts w:ascii="Symbol" w:hAnsi="Symbol" w:hint="default"/>
      </w:rPr>
    </w:lvl>
    <w:lvl w:ilvl="7" w:tplc="DFA2CAB6" w:tentative="1">
      <w:start w:val="1"/>
      <w:numFmt w:val="bullet"/>
      <w:lvlText w:val="o"/>
      <w:lvlJc w:val="left"/>
      <w:pPr>
        <w:ind w:left="5760" w:hanging="360"/>
      </w:pPr>
      <w:rPr>
        <w:rFonts w:ascii="Courier New" w:hAnsi="Courier New" w:cs="Courier New" w:hint="default"/>
      </w:rPr>
    </w:lvl>
    <w:lvl w:ilvl="8" w:tplc="5126799E" w:tentative="1">
      <w:start w:val="1"/>
      <w:numFmt w:val="bullet"/>
      <w:lvlText w:val=""/>
      <w:lvlJc w:val="left"/>
      <w:pPr>
        <w:ind w:left="6480" w:hanging="360"/>
      </w:pPr>
      <w:rPr>
        <w:rFonts w:ascii="Wingdings" w:hAnsi="Wingdings" w:hint="default"/>
      </w:rPr>
    </w:lvl>
  </w:abstractNum>
  <w:abstractNum w:abstractNumId="10">
    <w:nsid w:val="65AC3C49"/>
    <w:multiLevelType w:val="hybridMultilevel"/>
    <w:tmpl w:val="EE2C9F3C"/>
    <w:lvl w:ilvl="0" w:tplc="04B4B788">
      <w:start w:val="1"/>
      <w:numFmt w:val="bullet"/>
      <w:lvlText w:val=""/>
      <w:lvlJc w:val="left"/>
      <w:pPr>
        <w:tabs>
          <w:tab w:val="num" w:pos="360"/>
        </w:tabs>
        <w:ind w:left="360" w:hanging="360"/>
      </w:pPr>
      <w:rPr>
        <w:rFonts w:ascii="Symbol" w:hAnsi="Symbol" w:hint="default"/>
      </w:rPr>
    </w:lvl>
    <w:lvl w:ilvl="1" w:tplc="6CD212EA" w:tentative="1">
      <w:start w:val="1"/>
      <w:numFmt w:val="bullet"/>
      <w:lvlText w:val="o"/>
      <w:lvlJc w:val="left"/>
      <w:pPr>
        <w:tabs>
          <w:tab w:val="num" w:pos="1080"/>
        </w:tabs>
        <w:ind w:left="1080" w:hanging="360"/>
      </w:pPr>
      <w:rPr>
        <w:rFonts w:ascii="Courier New" w:hAnsi="Courier New" w:cs="Courier New" w:hint="default"/>
      </w:rPr>
    </w:lvl>
    <w:lvl w:ilvl="2" w:tplc="FA2AC2B6" w:tentative="1">
      <w:start w:val="1"/>
      <w:numFmt w:val="bullet"/>
      <w:lvlText w:val=""/>
      <w:lvlJc w:val="left"/>
      <w:pPr>
        <w:tabs>
          <w:tab w:val="num" w:pos="1800"/>
        </w:tabs>
        <w:ind w:left="1800" w:hanging="360"/>
      </w:pPr>
      <w:rPr>
        <w:rFonts w:ascii="Wingdings" w:hAnsi="Wingdings" w:hint="default"/>
      </w:rPr>
    </w:lvl>
    <w:lvl w:ilvl="3" w:tplc="4CB87C6C" w:tentative="1">
      <w:start w:val="1"/>
      <w:numFmt w:val="bullet"/>
      <w:lvlText w:val=""/>
      <w:lvlJc w:val="left"/>
      <w:pPr>
        <w:tabs>
          <w:tab w:val="num" w:pos="2520"/>
        </w:tabs>
        <w:ind w:left="2520" w:hanging="360"/>
      </w:pPr>
      <w:rPr>
        <w:rFonts w:ascii="Symbol" w:hAnsi="Symbol" w:hint="default"/>
      </w:rPr>
    </w:lvl>
    <w:lvl w:ilvl="4" w:tplc="A07A0308" w:tentative="1">
      <w:start w:val="1"/>
      <w:numFmt w:val="bullet"/>
      <w:lvlText w:val="o"/>
      <w:lvlJc w:val="left"/>
      <w:pPr>
        <w:tabs>
          <w:tab w:val="num" w:pos="3240"/>
        </w:tabs>
        <w:ind w:left="3240" w:hanging="360"/>
      </w:pPr>
      <w:rPr>
        <w:rFonts w:ascii="Courier New" w:hAnsi="Courier New" w:cs="Courier New" w:hint="default"/>
      </w:rPr>
    </w:lvl>
    <w:lvl w:ilvl="5" w:tplc="8EE0ACEC" w:tentative="1">
      <w:start w:val="1"/>
      <w:numFmt w:val="bullet"/>
      <w:lvlText w:val=""/>
      <w:lvlJc w:val="left"/>
      <w:pPr>
        <w:tabs>
          <w:tab w:val="num" w:pos="3960"/>
        </w:tabs>
        <w:ind w:left="3960" w:hanging="360"/>
      </w:pPr>
      <w:rPr>
        <w:rFonts w:ascii="Wingdings" w:hAnsi="Wingdings" w:hint="default"/>
      </w:rPr>
    </w:lvl>
    <w:lvl w:ilvl="6" w:tplc="8368C590" w:tentative="1">
      <w:start w:val="1"/>
      <w:numFmt w:val="bullet"/>
      <w:lvlText w:val=""/>
      <w:lvlJc w:val="left"/>
      <w:pPr>
        <w:tabs>
          <w:tab w:val="num" w:pos="4680"/>
        </w:tabs>
        <w:ind w:left="4680" w:hanging="360"/>
      </w:pPr>
      <w:rPr>
        <w:rFonts w:ascii="Symbol" w:hAnsi="Symbol" w:hint="default"/>
      </w:rPr>
    </w:lvl>
    <w:lvl w:ilvl="7" w:tplc="D7A0D324" w:tentative="1">
      <w:start w:val="1"/>
      <w:numFmt w:val="bullet"/>
      <w:lvlText w:val="o"/>
      <w:lvlJc w:val="left"/>
      <w:pPr>
        <w:tabs>
          <w:tab w:val="num" w:pos="5400"/>
        </w:tabs>
        <w:ind w:left="5400" w:hanging="360"/>
      </w:pPr>
      <w:rPr>
        <w:rFonts w:ascii="Courier New" w:hAnsi="Courier New" w:cs="Courier New" w:hint="default"/>
      </w:rPr>
    </w:lvl>
    <w:lvl w:ilvl="8" w:tplc="BB72AD2C" w:tentative="1">
      <w:start w:val="1"/>
      <w:numFmt w:val="bullet"/>
      <w:lvlText w:val=""/>
      <w:lvlJc w:val="left"/>
      <w:pPr>
        <w:tabs>
          <w:tab w:val="num" w:pos="6120"/>
        </w:tabs>
        <w:ind w:left="6120" w:hanging="360"/>
      </w:pPr>
      <w:rPr>
        <w:rFonts w:ascii="Wingdings" w:hAnsi="Wingdings" w:hint="default"/>
      </w:rPr>
    </w:lvl>
  </w:abstractNum>
  <w:abstractNum w:abstractNumId="11">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73683A31"/>
    <w:multiLevelType w:val="hybridMultilevel"/>
    <w:tmpl w:val="34B80252"/>
    <w:lvl w:ilvl="0" w:tplc="8278B20E">
      <w:start w:val="1"/>
      <w:numFmt w:val="bullet"/>
      <w:lvlText w:val=""/>
      <w:lvlJc w:val="left"/>
      <w:pPr>
        <w:ind w:left="1080" w:hanging="360"/>
      </w:pPr>
      <w:rPr>
        <w:rFonts w:ascii="Symbol" w:hAnsi="Symbol" w:hint="default"/>
      </w:rPr>
    </w:lvl>
    <w:lvl w:ilvl="1" w:tplc="45A06DAE" w:tentative="1">
      <w:start w:val="1"/>
      <w:numFmt w:val="bullet"/>
      <w:lvlText w:val="o"/>
      <w:lvlJc w:val="left"/>
      <w:pPr>
        <w:ind w:left="1800" w:hanging="360"/>
      </w:pPr>
      <w:rPr>
        <w:rFonts w:ascii="Courier New" w:hAnsi="Courier New" w:cs="Courier New" w:hint="default"/>
      </w:rPr>
    </w:lvl>
    <w:lvl w:ilvl="2" w:tplc="36ACC4E8" w:tentative="1">
      <w:start w:val="1"/>
      <w:numFmt w:val="bullet"/>
      <w:lvlText w:val=""/>
      <w:lvlJc w:val="left"/>
      <w:pPr>
        <w:ind w:left="2520" w:hanging="360"/>
      </w:pPr>
      <w:rPr>
        <w:rFonts w:ascii="Wingdings" w:hAnsi="Wingdings" w:hint="default"/>
      </w:rPr>
    </w:lvl>
    <w:lvl w:ilvl="3" w:tplc="B3BCD484" w:tentative="1">
      <w:start w:val="1"/>
      <w:numFmt w:val="bullet"/>
      <w:lvlText w:val=""/>
      <w:lvlJc w:val="left"/>
      <w:pPr>
        <w:ind w:left="3240" w:hanging="360"/>
      </w:pPr>
      <w:rPr>
        <w:rFonts w:ascii="Symbol" w:hAnsi="Symbol" w:hint="default"/>
      </w:rPr>
    </w:lvl>
    <w:lvl w:ilvl="4" w:tplc="66DEAD0C" w:tentative="1">
      <w:start w:val="1"/>
      <w:numFmt w:val="bullet"/>
      <w:lvlText w:val="o"/>
      <w:lvlJc w:val="left"/>
      <w:pPr>
        <w:ind w:left="3960" w:hanging="360"/>
      </w:pPr>
      <w:rPr>
        <w:rFonts w:ascii="Courier New" w:hAnsi="Courier New" w:cs="Courier New" w:hint="default"/>
      </w:rPr>
    </w:lvl>
    <w:lvl w:ilvl="5" w:tplc="48FC7BC4" w:tentative="1">
      <w:start w:val="1"/>
      <w:numFmt w:val="bullet"/>
      <w:lvlText w:val=""/>
      <w:lvlJc w:val="left"/>
      <w:pPr>
        <w:ind w:left="4680" w:hanging="360"/>
      </w:pPr>
      <w:rPr>
        <w:rFonts w:ascii="Wingdings" w:hAnsi="Wingdings" w:hint="default"/>
      </w:rPr>
    </w:lvl>
    <w:lvl w:ilvl="6" w:tplc="B6020FFE" w:tentative="1">
      <w:start w:val="1"/>
      <w:numFmt w:val="bullet"/>
      <w:lvlText w:val=""/>
      <w:lvlJc w:val="left"/>
      <w:pPr>
        <w:ind w:left="5400" w:hanging="360"/>
      </w:pPr>
      <w:rPr>
        <w:rFonts w:ascii="Symbol" w:hAnsi="Symbol" w:hint="default"/>
      </w:rPr>
    </w:lvl>
    <w:lvl w:ilvl="7" w:tplc="D452E918" w:tentative="1">
      <w:start w:val="1"/>
      <w:numFmt w:val="bullet"/>
      <w:lvlText w:val="o"/>
      <w:lvlJc w:val="left"/>
      <w:pPr>
        <w:ind w:left="6120" w:hanging="360"/>
      </w:pPr>
      <w:rPr>
        <w:rFonts w:ascii="Courier New" w:hAnsi="Courier New" w:cs="Courier New" w:hint="default"/>
      </w:rPr>
    </w:lvl>
    <w:lvl w:ilvl="8" w:tplc="E7240A8A" w:tentative="1">
      <w:start w:val="1"/>
      <w:numFmt w:val="bullet"/>
      <w:lvlText w:val=""/>
      <w:lvlJc w:val="left"/>
      <w:pPr>
        <w:ind w:left="6840" w:hanging="360"/>
      </w:pPr>
      <w:rPr>
        <w:rFonts w:ascii="Wingdings" w:hAnsi="Wingdings" w:hint="default"/>
      </w:rPr>
    </w:lvl>
  </w:abstractNum>
  <w:abstractNum w:abstractNumId="13">
    <w:nsid w:val="7DC410D1"/>
    <w:multiLevelType w:val="hybridMultilevel"/>
    <w:tmpl w:val="91B8C9F8"/>
    <w:lvl w:ilvl="0" w:tplc="B2004F40">
      <w:start w:val="1"/>
      <w:numFmt w:val="bullet"/>
      <w:lvlText w:val=""/>
      <w:lvlJc w:val="left"/>
      <w:pPr>
        <w:ind w:left="720" w:hanging="360"/>
      </w:pPr>
      <w:rPr>
        <w:rFonts w:ascii="Symbol" w:hAnsi="Symbol" w:hint="default"/>
      </w:rPr>
    </w:lvl>
    <w:lvl w:ilvl="1" w:tplc="AC826790">
      <w:start w:val="1"/>
      <w:numFmt w:val="bullet"/>
      <w:lvlText w:val="o"/>
      <w:lvlJc w:val="left"/>
      <w:pPr>
        <w:ind w:left="1440" w:hanging="360"/>
      </w:pPr>
      <w:rPr>
        <w:rFonts w:ascii="Courier New" w:hAnsi="Courier New" w:cs="Times New Roman" w:hint="default"/>
      </w:rPr>
    </w:lvl>
    <w:lvl w:ilvl="2" w:tplc="8062B10E">
      <w:start w:val="1"/>
      <w:numFmt w:val="bullet"/>
      <w:lvlText w:val=""/>
      <w:lvlJc w:val="left"/>
      <w:pPr>
        <w:ind w:left="2160" w:hanging="360"/>
      </w:pPr>
      <w:rPr>
        <w:rFonts w:ascii="Wingdings" w:hAnsi="Wingdings" w:hint="default"/>
      </w:rPr>
    </w:lvl>
    <w:lvl w:ilvl="3" w:tplc="EA2E6A2E">
      <w:start w:val="1"/>
      <w:numFmt w:val="bullet"/>
      <w:lvlText w:val=""/>
      <w:lvlJc w:val="left"/>
      <w:pPr>
        <w:ind w:left="2880" w:hanging="360"/>
      </w:pPr>
      <w:rPr>
        <w:rFonts w:ascii="Symbol" w:hAnsi="Symbol" w:hint="default"/>
      </w:rPr>
    </w:lvl>
    <w:lvl w:ilvl="4" w:tplc="D7346078">
      <w:start w:val="1"/>
      <w:numFmt w:val="bullet"/>
      <w:lvlText w:val="o"/>
      <w:lvlJc w:val="left"/>
      <w:pPr>
        <w:ind w:left="3600" w:hanging="360"/>
      </w:pPr>
      <w:rPr>
        <w:rFonts w:ascii="Courier New" w:hAnsi="Courier New" w:cs="Times New Roman" w:hint="default"/>
      </w:rPr>
    </w:lvl>
    <w:lvl w:ilvl="5" w:tplc="705030AE">
      <w:start w:val="1"/>
      <w:numFmt w:val="bullet"/>
      <w:lvlText w:val=""/>
      <w:lvlJc w:val="left"/>
      <w:pPr>
        <w:ind w:left="4320" w:hanging="360"/>
      </w:pPr>
      <w:rPr>
        <w:rFonts w:ascii="Wingdings" w:hAnsi="Wingdings" w:hint="default"/>
      </w:rPr>
    </w:lvl>
    <w:lvl w:ilvl="6" w:tplc="D360A5B2">
      <w:start w:val="1"/>
      <w:numFmt w:val="bullet"/>
      <w:lvlText w:val=""/>
      <w:lvlJc w:val="left"/>
      <w:pPr>
        <w:ind w:left="5040" w:hanging="360"/>
      </w:pPr>
      <w:rPr>
        <w:rFonts w:ascii="Symbol" w:hAnsi="Symbol" w:hint="default"/>
      </w:rPr>
    </w:lvl>
    <w:lvl w:ilvl="7" w:tplc="2C50585A">
      <w:start w:val="1"/>
      <w:numFmt w:val="bullet"/>
      <w:lvlText w:val="o"/>
      <w:lvlJc w:val="left"/>
      <w:pPr>
        <w:ind w:left="5760" w:hanging="360"/>
      </w:pPr>
      <w:rPr>
        <w:rFonts w:ascii="Courier New" w:hAnsi="Courier New" w:cs="Times New Roman" w:hint="default"/>
      </w:rPr>
    </w:lvl>
    <w:lvl w:ilvl="8" w:tplc="E4BECED6">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6"/>
  </w:num>
  <w:num w:numId="6">
    <w:abstractNumId w:val="10"/>
  </w:num>
  <w:num w:numId="7">
    <w:abstractNumId w:val="7"/>
  </w:num>
  <w:num w:numId="8">
    <w:abstractNumId w:val="13"/>
  </w:num>
  <w:num w:numId="9">
    <w:abstractNumId w:val="5"/>
  </w:num>
  <w:num w:numId="10">
    <w:abstractNumId w:val="12"/>
  </w:num>
  <w:num w:numId="11">
    <w:abstractNumId w:val="3"/>
  </w:num>
  <w:num w:numId="12">
    <w:abstractNumId w:val="8"/>
  </w:num>
  <w:num w:numId="13">
    <w:abstractNumId w:val="9"/>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D117E"/>
    <w:rsid w:val="000D2A53"/>
    <w:rsid w:val="000D358E"/>
    <w:rsid w:val="000D59EB"/>
    <w:rsid w:val="000F463D"/>
    <w:rsid w:val="001013E3"/>
    <w:rsid w:val="00102725"/>
    <w:rsid w:val="00103C35"/>
    <w:rsid w:val="00107576"/>
    <w:rsid w:val="00110CB6"/>
    <w:rsid w:val="00131FFA"/>
    <w:rsid w:val="001321C7"/>
    <w:rsid w:val="001337F5"/>
    <w:rsid w:val="001360F6"/>
    <w:rsid w:val="00140416"/>
    <w:rsid w:val="0014201D"/>
    <w:rsid w:val="001451A1"/>
    <w:rsid w:val="001525A6"/>
    <w:rsid w:val="001619A7"/>
    <w:rsid w:val="0016754B"/>
    <w:rsid w:val="00170481"/>
    <w:rsid w:val="00174730"/>
    <w:rsid w:val="0019247B"/>
    <w:rsid w:val="001C20C1"/>
    <w:rsid w:val="001C3E36"/>
    <w:rsid w:val="001C5F4F"/>
    <w:rsid w:val="001D3A91"/>
    <w:rsid w:val="001D4CB3"/>
    <w:rsid w:val="001F6C65"/>
    <w:rsid w:val="00200B40"/>
    <w:rsid w:val="00231D21"/>
    <w:rsid w:val="002354C5"/>
    <w:rsid w:val="0024257B"/>
    <w:rsid w:val="002530EB"/>
    <w:rsid w:val="00257C3F"/>
    <w:rsid w:val="00263741"/>
    <w:rsid w:val="00265FC8"/>
    <w:rsid w:val="00274AFC"/>
    <w:rsid w:val="002770B7"/>
    <w:rsid w:val="002829E3"/>
    <w:rsid w:val="002B2FDD"/>
    <w:rsid w:val="002B5835"/>
    <w:rsid w:val="002C7CB3"/>
    <w:rsid w:val="002F184D"/>
    <w:rsid w:val="002F5B32"/>
    <w:rsid w:val="002F7522"/>
    <w:rsid w:val="00304B25"/>
    <w:rsid w:val="003124F1"/>
    <w:rsid w:val="00316225"/>
    <w:rsid w:val="00330A1B"/>
    <w:rsid w:val="00355E87"/>
    <w:rsid w:val="00365F32"/>
    <w:rsid w:val="003665DD"/>
    <w:rsid w:val="00366E1D"/>
    <w:rsid w:val="00391C49"/>
    <w:rsid w:val="003954EC"/>
    <w:rsid w:val="003A3873"/>
    <w:rsid w:val="003A3F2C"/>
    <w:rsid w:val="003A696E"/>
    <w:rsid w:val="003B0D4C"/>
    <w:rsid w:val="003C1454"/>
    <w:rsid w:val="003D7A91"/>
    <w:rsid w:val="003E65AD"/>
    <w:rsid w:val="003F134E"/>
    <w:rsid w:val="003F31B0"/>
    <w:rsid w:val="00412EDA"/>
    <w:rsid w:val="004212B4"/>
    <w:rsid w:val="00463907"/>
    <w:rsid w:val="00463A5B"/>
    <w:rsid w:val="004763FC"/>
    <w:rsid w:val="00483686"/>
    <w:rsid w:val="0048665C"/>
    <w:rsid w:val="00491101"/>
    <w:rsid w:val="004C5088"/>
    <w:rsid w:val="004C5BE1"/>
    <w:rsid w:val="004E4528"/>
    <w:rsid w:val="004F044D"/>
    <w:rsid w:val="004F6432"/>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4FEA"/>
    <w:rsid w:val="00645A25"/>
    <w:rsid w:val="006616F7"/>
    <w:rsid w:val="00665F40"/>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6A"/>
    <w:rsid w:val="007E0A08"/>
    <w:rsid w:val="007E4A90"/>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677F9"/>
    <w:rsid w:val="00871183"/>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D1C88"/>
    <w:rsid w:val="009F69BA"/>
    <w:rsid w:val="009F6FA7"/>
    <w:rsid w:val="009F7072"/>
    <w:rsid w:val="00A12485"/>
    <w:rsid w:val="00A211AB"/>
    <w:rsid w:val="00A22197"/>
    <w:rsid w:val="00A244D2"/>
    <w:rsid w:val="00A2579D"/>
    <w:rsid w:val="00A309B1"/>
    <w:rsid w:val="00A457A3"/>
    <w:rsid w:val="00A51377"/>
    <w:rsid w:val="00A52FA1"/>
    <w:rsid w:val="00A53692"/>
    <w:rsid w:val="00A614FA"/>
    <w:rsid w:val="00A64687"/>
    <w:rsid w:val="00A83F52"/>
    <w:rsid w:val="00AB23EA"/>
    <w:rsid w:val="00AD2D83"/>
    <w:rsid w:val="00AF5C23"/>
    <w:rsid w:val="00AF64DE"/>
    <w:rsid w:val="00B02C2E"/>
    <w:rsid w:val="00B0535E"/>
    <w:rsid w:val="00B07C5A"/>
    <w:rsid w:val="00B32DBE"/>
    <w:rsid w:val="00B3628F"/>
    <w:rsid w:val="00B550DA"/>
    <w:rsid w:val="00B636D9"/>
    <w:rsid w:val="00B713B1"/>
    <w:rsid w:val="00B84162"/>
    <w:rsid w:val="00B922D3"/>
    <w:rsid w:val="00BA4BDA"/>
    <w:rsid w:val="00BB2109"/>
    <w:rsid w:val="00BB363C"/>
    <w:rsid w:val="00BB3FA3"/>
    <w:rsid w:val="00BB3FAB"/>
    <w:rsid w:val="00BB41E1"/>
    <w:rsid w:val="00BB7CEF"/>
    <w:rsid w:val="00BC02BE"/>
    <w:rsid w:val="00BD2185"/>
    <w:rsid w:val="00BE506E"/>
    <w:rsid w:val="00BF18CD"/>
    <w:rsid w:val="00C00493"/>
    <w:rsid w:val="00C0092D"/>
    <w:rsid w:val="00C02794"/>
    <w:rsid w:val="00C3529D"/>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1DA6"/>
    <w:rsid w:val="00E55640"/>
    <w:rsid w:val="00E57C78"/>
    <w:rsid w:val="00E62528"/>
    <w:rsid w:val="00E6289F"/>
    <w:rsid w:val="00E733B7"/>
    <w:rsid w:val="00E74D9D"/>
    <w:rsid w:val="00E914AA"/>
    <w:rsid w:val="00E979A3"/>
    <w:rsid w:val="00EA2BD4"/>
    <w:rsid w:val="00EB0042"/>
    <w:rsid w:val="00EB0D1E"/>
    <w:rsid w:val="00EB31E1"/>
    <w:rsid w:val="00EC4C18"/>
    <w:rsid w:val="00EE2EE5"/>
    <w:rsid w:val="00F0047E"/>
    <w:rsid w:val="00F128A2"/>
    <w:rsid w:val="00F16A9D"/>
    <w:rsid w:val="00F16E7A"/>
    <w:rsid w:val="00F21915"/>
    <w:rsid w:val="00F24CA7"/>
    <w:rsid w:val="00F466AF"/>
    <w:rsid w:val="00F6117D"/>
    <w:rsid w:val="00F77666"/>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Footnote"/>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Footnote"/>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1267C-CBDF-4B6C-9947-59A845E85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1243</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8785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6</cp:revision>
  <cp:lastPrinted>2015-10-16T08:20:00Z</cp:lastPrinted>
  <dcterms:created xsi:type="dcterms:W3CDTF">2018-09-18T15:59:00Z</dcterms:created>
  <dcterms:modified xsi:type="dcterms:W3CDTF">2018-09-27T15:25:00Z</dcterms:modified>
</cp:coreProperties>
</file>