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1B4A37" w:rsidRDefault="001B4A37" w:rsidP="001619A7">
      <w:pPr>
        <w:pStyle w:val="SectionTitle"/>
        <w:rPr>
          <w:sz w:val="24"/>
          <w:szCs w:val="24"/>
        </w:rPr>
      </w:pPr>
      <w:r w:rsidRPr="001B4A37">
        <w:rPr>
          <w:noProof/>
          <w:lang w:val="en-GB" w:eastAsia="en-GB" w:bidi="ar-SA"/>
        </w:rPr>
        <w:drawing>
          <wp:inline distT="0" distB="0" distL="0" distR="0" wp14:anchorId="6851FC86" wp14:editId="2C519D49">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E8071B" w:rsidRPr="001B4A37" w:rsidRDefault="00E8071B" w:rsidP="00E8071B">
      <w:pPr>
        <w:pStyle w:val="SectionTitle"/>
        <w:rPr>
          <w:rFonts w:ascii="Verdana" w:hAnsi="Verdana"/>
          <w:b w:val="0"/>
          <w:color w:val="365F91"/>
          <w:sz w:val="24"/>
          <w:szCs w:val="24"/>
        </w:rPr>
      </w:pPr>
      <w:r w:rsidRPr="001B4A37">
        <w:rPr>
          <w:rFonts w:ascii="Verdana" w:hAnsi="Verdana"/>
          <w:color w:val="365F91"/>
          <w:sz w:val="24"/>
          <w:szCs w:val="24"/>
        </w:rPr>
        <w:t>EUROPA CREATIVA (2014-2020)</w:t>
      </w:r>
    </w:p>
    <w:p w:rsidR="00E8071B" w:rsidRPr="001B4A37" w:rsidRDefault="00E8071B" w:rsidP="00E8071B">
      <w:pPr>
        <w:pStyle w:val="SectionTitle"/>
        <w:rPr>
          <w:rFonts w:ascii="Verdana" w:hAnsi="Verdana"/>
          <w:b w:val="0"/>
          <w:color w:val="365F91"/>
          <w:sz w:val="24"/>
          <w:szCs w:val="24"/>
        </w:rPr>
      </w:pPr>
      <w:r w:rsidRPr="001B4A37">
        <w:rPr>
          <w:rFonts w:ascii="Verdana" w:hAnsi="Verdana"/>
          <w:color w:val="365F91"/>
          <w:sz w:val="24"/>
          <w:szCs w:val="24"/>
        </w:rPr>
        <w:t>Subprograma MEDIA</w:t>
      </w:r>
    </w:p>
    <w:p w:rsidR="001619A7" w:rsidRPr="001B4A37" w:rsidRDefault="00E8071B" w:rsidP="00E8071B">
      <w:pPr>
        <w:pStyle w:val="SectionTitle"/>
        <w:rPr>
          <w:sz w:val="24"/>
          <w:szCs w:val="24"/>
          <w:lang w:val="es-ES_tradnl"/>
        </w:rPr>
      </w:pPr>
      <w:r w:rsidRPr="001B4A37">
        <w:rPr>
          <w:sz w:val="24"/>
          <w:szCs w:val="24"/>
        </w:rPr>
        <w:t xml:space="preserve">Convocatoria de propuestas </w:t>
      </w:r>
      <w:r w:rsidR="001B4A37" w:rsidRPr="001B4A37">
        <w:rPr>
          <w:sz w:val="24"/>
          <w:lang w:val="es-ES_tradnl"/>
        </w:rPr>
        <w:t>– EACEA/33/2018</w:t>
      </w:r>
    </w:p>
    <w:p w:rsidR="00E8071B" w:rsidRPr="001B4A37" w:rsidRDefault="00E8071B" w:rsidP="00E8071B">
      <w:pPr>
        <w:jc w:val="center"/>
        <w:rPr>
          <w:rFonts w:eastAsia="Arial Unicode MS"/>
          <w:b/>
          <w:smallCaps/>
          <w:sz w:val="44"/>
        </w:rPr>
      </w:pPr>
      <w:r w:rsidRPr="001B4A37">
        <w:rPr>
          <w:b/>
          <w:i/>
        </w:rPr>
        <w:t>Apoyo a la alfabetización cinematográfica</w:t>
      </w:r>
    </w:p>
    <w:p w:rsidR="00863699" w:rsidRPr="001B4A37" w:rsidRDefault="00863699" w:rsidP="0068309E">
      <w:pPr>
        <w:suppressAutoHyphens/>
        <w:jc w:val="both"/>
        <w:rPr>
          <w:b/>
          <w:smallCaps/>
          <w:sz w:val="22"/>
          <w:szCs w:val="22"/>
        </w:rPr>
      </w:pPr>
    </w:p>
    <w:p w:rsidR="00E8071B" w:rsidRPr="001B4A37" w:rsidRDefault="00E8071B" w:rsidP="00E8071B">
      <w:pPr>
        <w:keepNext/>
        <w:numPr>
          <w:ilvl w:val="0"/>
          <w:numId w:val="1"/>
        </w:numPr>
        <w:spacing w:before="240" w:after="240"/>
        <w:outlineLvl w:val="0"/>
        <w:rPr>
          <w:b/>
          <w:smallCaps/>
          <w:sz w:val="22"/>
          <w:szCs w:val="22"/>
          <w:lang w:eastAsia="en-US" w:bidi="ar-SA"/>
        </w:rPr>
      </w:pPr>
      <w:r w:rsidRPr="001B4A37">
        <w:rPr>
          <w:b/>
          <w:smallCaps/>
          <w:sz w:val="22"/>
          <w:szCs w:val="22"/>
          <w:lang w:eastAsia="en-US" w:bidi="ar-SA"/>
        </w:rPr>
        <w:t>Objetivos y descripción</w:t>
      </w:r>
    </w:p>
    <w:p w:rsidR="00E8071B" w:rsidRPr="001B4A37" w:rsidRDefault="00E8071B" w:rsidP="00E8071B">
      <w:pPr>
        <w:spacing w:after="240"/>
        <w:jc w:val="both"/>
        <w:rPr>
          <w:rFonts w:eastAsia="Arial Unicode MS"/>
          <w:sz w:val="22"/>
          <w:szCs w:val="22"/>
          <w:lang w:eastAsia="en-US" w:bidi="ar-SA"/>
        </w:rPr>
      </w:pPr>
      <w:r w:rsidRPr="001B4A37">
        <w:rPr>
          <w:sz w:val="22"/>
          <w:szCs w:val="22"/>
          <w:lang w:eastAsia="en-US" w:bidi="ar-SA"/>
        </w:rPr>
        <w:t>El presente anuncio se basa en el Reglamento nº 1295/2013 del Parlamento Europeo y del Consejo, de 11 de diciembre de 2013, relativo al establecimiento de un programa destinado a apoyar al sector cultural y creativo de Europa (EUROPA CREATIVA)</w:t>
      </w:r>
      <w:r w:rsidRPr="001B4A37">
        <w:rPr>
          <w:sz w:val="22"/>
          <w:szCs w:val="22"/>
          <w:vertAlign w:val="superscript"/>
          <w:lang w:eastAsia="en-GB" w:bidi="ar-SA"/>
        </w:rPr>
        <w:footnoteReference w:id="1"/>
      </w:r>
      <w:r w:rsidRPr="001B4A37">
        <w:rPr>
          <w:rFonts w:eastAsia="Arial Unicode MS"/>
          <w:sz w:val="22"/>
          <w:szCs w:val="22"/>
          <w:lang w:eastAsia="en-US" w:bidi="ar-SA"/>
        </w:rPr>
        <w:t xml:space="preserve">. </w:t>
      </w:r>
    </w:p>
    <w:p w:rsidR="00E8071B" w:rsidRPr="001B4A37" w:rsidRDefault="00E8071B" w:rsidP="00E8071B">
      <w:pPr>
        <w:widowControl w:val="0"/>
        <w:autoSpaceDE w:val="0"/>
        <w:autoSpaceDN w:val="0"/>
        <w:adjustRightInd w:val="0"/>
        <w:spacing w:before="32" w:line="275" w:lineRule="auto"/>
        <w:ind w:right="51"/>
        <w:rPr>
          <w:color w:val="000000"/>
          <w:sz w:val="22"/>
          <w:szCs w:val="22"/>
          <w:lang w:eastAsia="en-GB" w:bidi="ar-SA"/>
        </w:rPr>
      </w:pPr>
      <w:r w:rsidRPr="001B4A37">
        <w:rPr>
          <w:sz w:val="22"/>
          <w:szCs w:val="22"/>
          <w:lang w:eastAsia="en-GB" w:bidi="ar-SA"/>
        </w:rPr>
        <w:t>Dentro del objetivo específico de promover la circulación transnacional, una de las prioridades del subprograma MEDIA es la siguiente:</w:t>
      </w:r>
    </w:p>
    <w:p w:rsidR="00E8071B" w:rsidRPr="001B4A37" w:rsidRDefault="00E8071B" w:rsidP="00E8071B">
      <w:pPr>
        <w:widowControl w:val="0"/>
        <w:autoSpaceDE w:val="0"/>
        <w:autoSpaceDN w:val="0"/>
        <w:adjustRightInd w:val="0"/>
        <w:spacing w:before="32" w:line="275" w:lineRule="auto"/>
        <w:ind w:right="51"/>
        <w:rPr>
          <w:color w:val="000000"/>
          <w:sz w:val="22"/>
          <w:szCs w:val="22"/>
          <w:lang w:eastAsia="en-GB" w:bidi="ar-SA"/>
        </w:rPr>
      </w:pPr>
    </w:p>
    <w:p w:rsidR="00E8071B" w:rsidRPr="001B4A37" w:rsidRDefault="00E8071B" w:rsidP="00E8071B">
      <w:pPr>
        <w:widowControl w:val="0"/>
        <w:numPr>
          <w:ilvl w:val="0"/>
          <w:numId w:val="12"/>
        </w:numPr>
        <w:autoSpaceDE w:val="0"/>
        <w:autoSpaceDN w:val="0"/>
        <w:adjustRightInd w:val="0"/>
        <w:spacing w:after="200" w:line="276" w:lineRule="auto"/>
        <w:ind w:left="720" w:hanging="720"/>
        <w:rPr>
          <w:sz w:val="22"/>
          <w:szCs w:val="22"/>
          <w:lang w:eastAsia="en-GB" w:bidi="ar-SA"/>
        </w:rPr>
      </w:pPr>
      <w:r w:rsidRPr="001B4A37">
        <w:rPr>
          <w:sz w:val="22"/>
          <w:szCs w:val="22"/>
          <w:lang w:eastAsia="en-GB" w:bidi="ar-SA"/>
        </w:rPr>
        <w:t xml:space="preserve">apoyo al desarrollo de audiencia como medio para estimular el interés por las obras audiovisuales europeas y la mejora del acceso a las mismas, en particular, a través de la promoción, los eventos, la alfabetización cinematográfica y los festivales; </w:t>
      </w:r>
    </w:p>
    <w:p w:rsidR="00E8071B" w:rsidRPr="001B4A37" w:rsidRDefault="00E8071B" w:rsidP="00E8071B">
      <w:pPr>
        <w:widowControl w:val="0"/>
        <w:tabs>
          <w:tab w:val="left" w:pos="1180"/>
        </w:tabs>
        <w:autoSpaceDE w:val="0"/>
        <w:autoSpaceDN w:val="0"/>
        <w:adjustRightInd w:val="0"/>
        <w:ind w:right="-20"/>
        <w:rPr>
          <w:sz w:val="22"/>
          <w:szCs w:val="22"/>
          <w:lang w:eastAsia="en-GB" w:bidi="ar-SA"/>
        </w:rPr>
      </w:pPr>
    </w:p>
    <w:p w:rsidR="00E8071B" w:rsidRPr="001B4A37" w:rsidRDefault="00E8071B" w:rsidP="00E8071B">
      <w:pPr>
        <w:widowControl w:val="0"/>
        <w:tabs>
          <w:tab w:val="left" w:pos="1180"/>
        </w:tabs>
        <w:autoSpaceDE w:val="0"/>
        <w:autoSpaceDN w:val="0"/>
        <w:adjustRightInd w:val="0"/>
        <w:ind w:right="-20"/>
        <w:rPr>
          <w:sz w:val="22"/>
          <w:szCs w:val="22"/>
          <w:lang w:eastAsia="en-GB" w:bidi="ar-SA"/>
        </w:rPr>
      </w:pPr>
      <w:r w:rsidRPr="001B4A37">
        <w:rPr>
          <w:sz w:val="22"/>
          <w:szCs w:val="22"/>
          <w:lang w:eastAsia="en-GB" w:bidi="ar-SA"/>
        </w:rPr>
        <w:t>El subprograma MEDIA subvencionará:</w:t>
      </w:r>
    </w:p>
    <w:p w:rsidR="00E8071B" w:rsidRPr="001B4A37" w:rsidRDefault="00E8071B" w:rsidP="00E8071B">
      <w:pPr>
        <w:jc w:val="both"/>
        <w:rPr>
          <w:bCs/>
          <w:sz w:val="22"/>
          <w:szCs w:val="22"/>
          <w:lang w:eastAsia="en-GB" w:bidi="ar-SA"/>
        </w:rPr>
      </w:pPr>
    </w:p>
    <w:p w:rsidR="00E8071B" w:rsidRPr="001B4A37" w:rsidRDefault="00E8071B" w:rsidP="00E8071B">
      <w:pPr>
        <w:numPr>
          <w:ilvl w:val="0"/>
          <w:numId w:val="11"/>
        </w:numPr>
        <w:spacing w:after="200" w:line="276" w:lineRule="auto"/>
        <w:ind w:hanging="720"/>
        <w:jc w:val="both"/>
        <w:rPr>
          <w:bCs/>
          <w:sz w:val="22"/>
          <w:szCs w:val="22"/>
          <w:lang w:eastAsia="en-GB" w:bidi="ar-SA"/>
        </w:rPr>
      </w:pPr>
      <w:r w:rsidRPr="001B4A37">
        <w:rPr>
          <w:bCs/>
          <w:sz w:val="22"/>
          <w:szCs w:val="22"/>
          <w:lang w:eastAsia="en-GB" w:bidi="ar-SA"/>
        </w:rPr>
        <w:t>actividades encaminadas a fomentar los conocimientos cinematográficos y a incrementar el conocimiento entre el público de las obras audiovisuales europeas, incluido el patrimonio audiovisual y cinematográfico, y el interés del público por las mismas, particularmente entre el público joven;</w:t>
      </w:r>
    </w:p>
    <w:p w:rsidR="00E8071B" w:rsidRPr="001B4A37" w:rsidRDefault="00E8071B" w:rsidP="00E8071B">
      <w:pPr>
        <w:ind w:left="720"/>
        <w:jc w:val="both"/>
        <w:rPr>
          <w:bCs/>
          <w:sz w:val="22"/>
          <w:szCs w:val="22"/>
          <w:lang w:eastAsia="en-GB" w:bidi="ar-SA"/>
        </w:rPr>
      </w:pPr>
    </w:p>
    <w:p w:rsidR="00E8071B" w:rsidRPr="001B4A37" w:rsidRDefault="00E8071B" w:rsidP="00E8071B">
      <w:pPr>
        <w:numPr>
          <w:ilvl w:val="0"/>
          <w:numId w:val="11"/>
        </w:numPr>
        <w:spacing w:after="240" w:line="276" w:lineRule="auto"/>
        <w:ind w:hanging="720"/>
        <w:jc w:val="both"/>
        <w:rPr>
          <w:rFonts w:eastAsia="Arial Unicode MS"/>
          <w:sz w:val="22"/>
          <w:szCs w:val="22"/>
          <w:lang w:eastAsia="en-US" w:bidi="ar-SA"/>
        </w:rPr>
      </w:pPr>
      <w:r w:rsidRPr="001B4A37">
        <w:rPr>
          <w:bCs/>
          <w:sz w:val="22"/>
          <w:szCs w:val="22"/>
          <w:lang w:eastAsia="en-GB" w:bidi="ar-SA"/>
        </w:rPr>
        <w:t>la facilitación de la circulación de películas europeas en todo el mundo y de películas internacionales en la Unión en todas las plataformas de distribución, a través de proyectos de cooperación internacional en el sector audiovisual.</w:t>
      </w:r>
    </w:p>
    <w:p w:rsidR="00E8071B" w:rsidRPr="001B4A37" w:rsidRDefault="00E8071B" w:rsidP="00E8071B">
      <w:pPr>
        <w:keepNext/>
        <w:numPr>
          <w:ilvl w:val="0"/>
          <w:numId w:val="1"/>
        </w:numPr>
        <w:spacing w:before="240" w:after="240"/>
        <w:outlineLvl w:val="0"/>
        <w:rPr>
          <w:b/>
          <w:smallCaps/>
          <w:sz w:val="22"/>
          <w:szCs w:val="22"/>
          <w:lang w:eastAsia="en-US" w:bidi="ar-SA"/>
        </w:rPr>
      </w:pPr>
      <w:r w:rsidRPr="001B4A37">
        <w:rPr>
          <w:b/>
          <w:smallCaps/>
          <w:sz w:val="22"/>
          <w:szCs w:val="22"/>
          <w:lang w:eastAsia="en-US" w:bidi="ar-SA"/>
        </w:rPr>
        <w:lastRenderedPageBreak/>
        <w:t>Candidatos admisibles</w:t>
      </w:r>
    </w:p>
    <w:p w:rsidR="00E8071B" w:rsidRPr="001B4A37" w:rsidRDefault="00E8071B" w:rsidP="00E8071B">
      <w:pPr>
        <w:spacing w:before="120" w:after="240"/>
        <w:jc w:val="both"/>
        <w:rPr>
          <w:rFonts w:eastAsia="Arial Unicode MS"/>
          <w:sz w:val="22"/>
          <w:szCs w:val="22"/>
          <w:lang w:eastAsia="en-GB" w:bidi="ar-SA"/>
        </w:rPr>
      </w:pPr>
      <w:r w:rsidRPr="001B4A37">
        <w:rPr>
          <w:rFonts w:eastAsia="Arial Unicode MS"/>
          <w:sz w:val="22"/>
          <w:szCs w:val="22"/>
          <w:lang w:eastAsia="en-GB" w:bidi="ar-SA"/>
        </w:rPr>
        <w:t>Los solicitantes deberán ser consorcios (un responsable de proyecto y un mínimo de dos socios) de entidades jurídicas europeas (empresas privadas, organizaciones sin ánimo de lucro, asociaciones, organizaciones benéficas, fundaciones, municipios/ayuntamientos, etc.) establecidas en uno de los países que participan en el subprograma MEDIA (véase más abajo) y que sean propiedad, directamente o por participación mayoritaria, de ciudadanos de esos países.</w:t>
      </w:r>
      <w:r w:rsidRPr="001B4A37">
        <w:rPr>
          <w:rFonts w:eastAsia="Arial Unicode MS"/>
          <w:color w:val="000000"/>
          <w:sz w:val="22"/>
          <w:szCs w:val="22"/>
          <w:lang w:eastAsia="en-GB" w:bidi="ar-SA"/>
        </w:rPr>
        <w:t xml:space="preserve"> El responsable del proyecto presentará la solicitud en nombre de todos los socios.</w:t>
      </w:r>
    </w:p>
    <w:p w:rsidR="00E8071B" w:rsidRPr="001B4A37" w:rsidRDefault="00E8071B" w:rsidP="00E8071B">
      <w:pPr>
        <w:spacing w:after="120"/>
        <w:jc w:val="both"/>
        <w:rPr>
          <w:rFonts w:eastAsia="Arial Unicode MS"/>
          <w:sz w:val="22"/>
          <w:szCs w:val="22"/>
          <w:lang w:eastAsia="en-GB" w:bidi="ar-SA"/>
        </w:rPr>
      </w:pPr>
      <w:r w:rsidRPr="001B4A37">
        <w:rPr>
          <w:rFonts w:eastAsia="Arial Unicode MS"/>
          <w:sz w:val="22"/>
          <w:szCs w:val="22"/>
          <w:lang w:eastAsia="en-GB" w:bidi="ar-SA"/>
        </w:rPr>
        <w:t>Esta acción está abierta a las entidades jurídicas establecidas en uno de los países que participan en el subprograma MEDIA (véase más abajo) y que sean propiedad, directamente o por participación mayoritaria, de ciudadanos de esos países.</w:t>
      </w:r>
    </w:p>
    <w:p w:rsidR="00E8071B" w:rsidRPr="001B4A37" w:rsidRDefault="00E8071B" w:rsidP="00E8071B">
      <w:pPr>
        <w:spacing w:after="120"/>
        <w:jc w:val="both"/>
        <w:rPr>
          <w:rFonts w:eastAsia="Arial Unicode MS"/>
          <w:sz w:val="22"/>
          <w:szCs w:val="22"/>
          <w:lang w:eastAsia="en-GB" w:bidi="ar-SA"/>
        </w:rPr>
      </w:pPr>
      <w:r w:rsidRPr="001B4A37">
        <w:rPr>
          <w:rFonts w:eastAsia="Arial Unicode MS"/>
          <w:sz w:val="22"/>
          <w:szCs w:val="22"/>
          <w:lang w:eastAsia="en-GB" w:bidi="ar-SA"/>
        </w:rPr>
        <w:t xml:space="preserve">Las solicitudes de las entidades jurídicas establecidas en uno de los siguientes países serán admisibles siempre y cuando se cumplan todas las condiciones estipuladas en el artículo 8 del Reglamento por el que se establece el Programa Europa Creativa: </w:t>
      </w:r>
    </w:p>
    <w:p w:rsidR="00E8071B" w:rsidRPr="001B4A37" w:rsidRDefault="00E8071B" w:rsidP="00E8071B">
      <w:pPr>
        <w:spacing w:after="60" w:line="274" w:lineRule="exact"/>
        <w:ind w:left="720" w:right="20" w:hanging="360"/>
        <w:jc w:val="both"/>
        <w:rPr>
          <w:sz w:val="22"/>
          <w:szCs w:val="22"/>
          <w:lang w:eastAsia="en-GB" w:bidi="ar-SA"/>
        </w:rPr>
      </w:pPr>
      <w:r w:rsidRPr="001B4A37">
        <w:rPr>
          <w:sz w:val="22"/>
          <w:szCs w:val="22"/>
          <w:lang w:eastAsia="en-GB" w:bidi="ar-SA"/>
        </w:rPr>
        <w:t>-</w:t>
      </w:r>
      <w:r w:rsidRPr="001B4A37">
        <w:rPr>
          <w:sz w:val="22"/>
          <w:szCs w:val="22"/>
          <w:lang w:eastAsia="en-GB" w:bidi="ar-SA"/>
        </w:rPr>
        <w:tab/>
        <w:t>Estados miembros de la UE y países y territorios de ultramar que puedan participar en el programa con arreglo a lo dispuesto en el artículo 58 de la Decisión 2001/822/CE del Consejo;</w:t>
      </w:r>
    </w:p>
    <w:p w:rsidR="00E8071B" w:rsidRPr="001B4A37" w:rsidRDefault="00E8071B" w:rsidP="00E8071B">
      <w:pPr>
        <w:spacing w:after="60" w:line="274" w:lineRule="exact"/>
        <w:ind w:left="720" w:right="20" w:hanging="360"/>
        <w:jc w:val="both"/>
        <w:rPr>
          <w:sz w:val="22"/>
          <w:szCs w:val="22"/>
          <w:lang w:eastAsia="en-GB" w:bidi="ar-SA"/>
        </w:rPr>
      </w:pPr>
      <w:r w:rsidRPr="001B4A37">
        <w:rPr>
          <w:sz w:val="22"/>
          <w:szCs w:val="22"/>
          <w:lang w:eastAsia="en-GB" w:bidi="ar-SA"/>
        </w:rPr>
        <w:t xml:space="preserve"> -</w:t>
      </w:r>
      <w:r w:rsidRPr="001B4A37">
        <w:rPr>
          <w:sz w:val="22"/>
          <w:szCs w:val="22"/>
          <w:lang w:eastAsia="en-GB" w:bidi="ar-SA"/>
        </w:rPr>
        <w:tab/>
        <w:t>Los países en proceso de adhesión, los países candidatos y los países candidatos potenciales que se benefician de una estrategia de preadhesión, conforme a los principios generales y a las condiciones generales de participación de dichos países en programas de la Unión establecidos en los respectivos acuerdos marco y decisiones del Consejo de Asociación o en acuerdos similares;</w:t>
      </w:r>
    </w:p>
    <w:p w:rsidR="00E8071B" w:rsidRPr="001B4A37" w:rsidRDefault="00E8071B" w:rsidP="00E8071B">
      <w:pPr>
        <w:spacing w:after="60" w:line="274" w:lineRule="exact"/>
        <w:ind w:left="720" w:right="20" w:hanging="360"/>
        <w:jc w:val="both"/>
        <w:rPr>
          <w:sz w:val="22"/>
          <w:szCs w:val="22"/>
          <w:lang w:eastAsia="en-GB" w:bidi="ar-SA"/>
        </w:rPr>
      </w:pPr>
      <w:r w:rsidRPr="001B4A37">
        <w:rPr>
          <w:sz w:val="22"/>
          <w:szCs w:val="22"/>
          <w:lang w:eastAsia="en-GB" w:bidi="ar-SA"/>
        </w:rPr>
        <w:t>-</w:t>
      </w:r>
      <w:r w:rsidRPr="001B4A37">
        <w:rPr>
          <w:sz w:val="22"/>
          <w:szCs w:val="22"/>
          <w:lang w:eastAsia="en-GB" w:bidi="ar-SA"/>
        </w:rPr>
        <w:tab/>
        <w:t>Los países de la AELC que sean parte del Acuerdo sobre el EEE, de conformidad con las disposiciones de dicho Acuerdo;</w:t>
      </w:r>
    </w:p>
    <w:p w:rsidR="00E8071B" w:rsidRPr="001B4A37" w:rsidRDefault="00E8071B" w:rsidP="00E8071B">
      <w:pPr>
        <w:spacing w:after="60" w:line="274" w:lineRule="exact"/>
        <w:ind w:left="720" w:right="20" w:hanging="360"/>
        <w:jc w:val="both"/>
        <w:rPr>
          <w:sz w:val="22"/>
          <w:szCs w:val="22"/>
          <w:lang w:eastAsia="en-GB" w:bidi="ar-SA"/>
        </w:rPr>
      </w:pPr>
      <w:r w:rsidRPr="001B4A37">
        <w:rPr>
          <w:sz w:val="22"/>
          <w:szCs w:val="22"/>
          <w:lang w:eastAsia="en-GB" w:bidi="ar-SA"/>
        </w:rPr>
        <w:t>-</w:t>
      </w:r>
      <w:r w:rsidRPr="001B4A37">
        <w:rPr>
          <w:sz w:val="22"/>
          <w:szCs w:val="22"/>
          <w:lang w:eastAsia="en-GB" w:bidi="ar-SA"/>
        </w:rPr>
        <w:tab/>
        <w:t>La Confederación Suiza, sobre la base de un acuerdo bilateral que se celebrará con dicho país;</w:t>
      </w:r>
    </w:p>
    <w:p w:rsidR="00E8071B" w:rsidRPr="001B4A37" w:rsidRDefault="00E8071B" w:rsidP="00E8071B">
      <w:pPr>
        <w:spacing w:after="180" w:line="274" w:lineRule="exact"/>
        <w:ind w:left="720" w:right="20" w:hanging="360"/>
        <w:jc w:val="both"/>
        <w:rPr>
          <w:sz w:val="22"/>
          <w:szCs w:val="22"/>
          <w:lang w:eastAsia="en-GB" w:bidi="ar-SA"/>
        </w:rPr>
      </w:pPr>
      <w:r w:rsidRPr="001B4A37">
        <w:rPr>
          <w:sz w:val="22"/>
          <w:szCs w:val="22"/>
          <w:lang w:eastAsia="en-GB" w:bidi="ar-SA"/>
        </w:rPr>
        <w:t>-</w:t>
      </w:r>
      <w:r w:rsidRPr="001B4A37">
        <w:rPr>
          <w:sz w:val="22"/>
          <w:szCs w:val="22"/>
          <w:lang w:eastAsia="en-GB" w:bidi="ar-SA"/>
        </w:rPr>
        <w:tab/>
        <w:t>Los países acogidos a la Política Europea de Vecindad con arreglo a los procedimientos establecidos con respecto a estos países en los acuerdos marco que disponen su participación en los programas de la Unión Europea.</w:t>
      </w:r>
    </w:p>
    <w:p w:rsidR="00E8071B" w:rsidRPr="001B4A37" w:rsidRDefault="00E8071B" w:rsidP="00E8071B">
      <w:pPr>
        <w:spacing w:after="180" w:line="274" w:lineRule="exact"/>
        <w:jc w:val="both"/>
        <w:rPr>
          <w:sz w:val="22"/>
          <w:szCs w:val="22"/>
          <w:lang w:eastAsia="en-GB" w:bidi="ar-SA"/>
        </w:rPr>
      </w:pPr>
      <w:r w:rsidRPr="001B4A37">
        <w:rPr>
          <w:sz w:val="22"/>
          <w:szCs w:val="22"/>
          <w:lang w:eastAsia="en-GB" w:bidi="ar-SA"/>
        </w:rPr>
        <w:t>El Programa también estará abierto a acciones de cooperación bilateral o multilateral dirigidas a países o regiones seleccionadas sobre la base de los créditos adicionales desembolsados y de acuerdos específicos que deberán adoptarse con dichos países o regiones.</w:t>
      </w:r>
    </w:p>
    <w:p w:rsidR="00E8071B" w:rsidRPr="001B4A37" w:rsidRDefault="00E8071B" w:rsidP="00E8071B">
      <w:pPr>
        <w:spacing w:after="180" w:line="274" w:lineRule="exact"/>
        <w:jc w:val="both"/>
        <w:rPr>
          <w:sz w:val="22"/>
          <w:szCs w:val="22"/>
          <w:lang w:eastAsia="en-GB" w:bidi="ar-SA"/>
        </w:rPr>
      </w:pPr>
      <w:r w:rsidRPr="001B4A37">
        <w:rPr>
          <w:sz w:val="22"/>
          <w:szCs w:val="22"/>
          <w:lang w:eastAsia="en-GB" w:bidi="ar-SA"/>
        </w:rPr>
        <w:t>El Programa permitirá cooperar y desarrollar acciones conjuntas con países que no participan en el Programa y con organizaciones internacionales de los sectores cultural y creativo como la UNESCO, el Consejo de Europa, la Organización de Cooperación y Desarrollo Económicos o la Organización Mundial de la Propiedad Intelectual sobre la base de contribuciones conjuntas para la realización de los objetivos del Programa.</w:t>
      </w:r>
    </w:p>
    <w:p w:rsidR="00E8071B" w:rsidRPr="001B4A37" w:rsidRDefault="00E8071B" w:rsidP="00E8071B">
      <w:pPr>
        <w:jc w:val="both"/>
        <w:rPr>
          <w:sz w:val="22"/>
          <w:szCs w:val="22"/>
          <w:lang w:eastAsia="en-GB" w:bidi="ar-SA"/>
        </w:rPr>
      </w:pPr>
      <w:r w:rsidRPr="001B4A37">
        <w:rPr>
          <w:sz w:val="22"/>
          <w:szCs w:val="22"/>
          <w:lang w:eastAsia="en-GB" w:bidi="ar-SA"/>
        </w:rPr>
        <w:t xml:space="preserve">Podrán seleccionarse propuestas de los solicitantes de países no pertenecientes a la UE siempre y cuando, en la fecha de la decisión de concesión, se hayan firmado los acuerdos que establezcan las condiciones para la participación de dichos países en el programa establecido en virtud del Reglamento citado anteriormente. </w:t>
      </w:r>
    </w:p>
    <w:p w:rsidR="00E8071B" w:rsidRPr="001B4A37" w:rsidRDefault="00E8071B" w:rsidP="00E8071B">
      <w:pPr>
        <w:jc w:val="both"/>
        <w:rPr>
          <w:sz w:val="22"/>
          <w:szCs w:val="22"/>
          <w:lang w:eastAsia="en-GB" w:bidi="ar-SA"/>
        </w:rPr>
      </w:pPr>
      <w:r w:rsidRPr="001B4A37">
        <w:rPr>
          <w:sz w:val="22"/>
          <w:szCs w:val="22"/>
          <w:lang w:eastAsia="en-GB" w:bidi="ar-SA"/>
        </w:rPr>
        <w:t>En el enlace siguiente se facilita la lista actualizada de los países que cumplen las condiciones citadas en el artículo 8 del Reglamento y con los que la Comisión ha iniciado negociaciones:</w:t>
      </w:r>
    </w:p>
    <w:p w:rsidR="000139A4" w:rsidRPr="001B4A37" w:rsidRDefault="00626BB4" w:rsidP="001337F5">
      <w:pPr>
        <w:jc w:val="both"/>
        <w:rPr>
          <w:rFonts w:eastAsia="Calibri"/>
          <w:sz w:val="22"/>
          <w:szCs w:val="22"/>
        </w:rPr>
      </w:pPr>
      <w:hyperlink r:id="rId10" w:history="1">
        <w:r w:rsidR="001B4A37" w:rsidRPr="001B4A37">
          <w:rPr>
            <w:rStyle w:val="Hyperlink"/>
            <w:color w:val="auto"/>
            <w:sz w:val="22"/>
          </w:rPr>
          <w:t>http://eacea.ec.europa.eu/creative-europe/library/eligibility-organisations-non-eu-countries_en</w:t>
        </w:r>
      </w:hyperlink>
      <w:r w:rsidR="001B4A37" w:rsidRPr="001B4A37">
        <w:rPr>
          <w:sz w:val="22"/>
        </w:rPr>
        <w:t>).</w:t>
      </w:r>
    </w:p>
    <w:p w:rsidR="001337F5" w:rsidRPr="001B4A37" w:rsidRDefault="001337F5" w:rsidP="001337F5">
      <w:pPr>
        <w:jc w:val="both"/>
        <w:rPr>
          <w:rFonts w:eastAsia="Calibri"/>
          <w:sz w:val="22"/>
          <w:szCs w:val="22"/>
        </w:rPr>
      </w:pPr>
    </w:p>
    <w:p w:rsidR="001337F5" w:rsidRPr="001B4A37" w:rsidRDefault="001B4A37" w:rsidP="001337F5">
      <w:pPr>
        <w:jc w:val="both"/>
        <w:rPr>
          <w:rFonts w:eastAsia="Calibri"/>
          <w:sz w:val="22"/>
          <w:szCs w:val="22"/>
        </w:rPr>
      </w:pPr>
      <w:r w:rsidRPr="001B4A37">
        <w:rPr>
          <w:sz w:val="22"/>
        </w:rPr>
        <w:t>El responsable del proyecto presentará la solicitud en representación de todos los socios.</w:t>
      </w:r>
    </w:p>
    <w:p w:rsidR="00562159" w:rsidRPr="001B4A37" w:rsidRDefault="00562159" w:rsidP="000139A4">
      <w:pPr>
        <w:jc w:val="both"/>
        <w:rPr>
          <w:rFonts w:eastAsia="Calibri"/>
          <w:sz w:val="22"/>
          <w:szCs w:val="22"/>
        </w:rPr>
      </w:pPr>
    </w:p>
    <w:p w:rsidR="0048665C" w:rsidRPr="001B4A37" w:rsidRDefault="001B4A37" w:rsidP="00863699">
      <w:pPr>
        <w:autoSpaceDE w:val="0"/>
        <w:autoSpaceDN w:val="0"/>
        <w:adjustRightInd w:val="0"/>
        <w:rPr>
          <w:sz w:val="22"/>
          <w:szCs w:val="22"/>
        </w:rPr>
      </w:pPr>
      <w:r w:rsidRPr="001B4A37">
        <w:rPr>
          <w:b/>
          <w:sz w:val="22"/>
        </w:rPr>
        <w:t>No</w:t>
      </w:r>
      <w:r w:rsidRPr="001B4A37">
        <w:rPr>
          <w:sz w:val="22"/>
        </w:rPr>
        <w:t xml:space="preserve"> podrán solicitar subvención las personas físicas.</w:t>
      </w:r>
    </w:p>
    <w:p w:rsidR="00D6275F" w:rsidRPr="001B4A37" w:rsidRDefault="00626BB4" w:rsidP="002B5835">
      <w:pPr>
        <w:pStyle w:val="Heading1"/>
        <w:rPr>
          <w:sz w:val="22"/>
          <w:szCs w:val="22"/>
        </w:rPr>
      </w:pPr>
      <w:r>
        <w:rPr>
          <w:sz w:val="22"/>
        </w:rPr>
        <w:lastRenderedPageBreak/>
        <w:t>actividades</w:t>
      </w:r>
      <w:r w:rsidR="001B4A37" w:rsidRPr="001B4A37">
        <w:rPr>
          <w:sz w:val="22"/>
        </w:rPr>
        <w:t xml:space="preserve"> subvencionables</w:t>
      </w:r>
    </w:p>
    <w:p w:rsidR="001337F5" w:rsidRPr="001B4A37" w:rsidRDefault="001B4A37" w:rsidP="001337F5">
      <w:pPr>
        <w:spacing w:after="120"/>
        <w:jc w:val="both"/>
        <w:rPr>
          <w:rFonts w:eastAsia="Calibri"/>
          <w:kern w:val="32"/>
          <w:sz w:val="22"/>
          <w:szCs w:val="22"/>
        </w:rPr>
      </w:pPr>
      <w:r w:rsidRPr="001B4A37">
        <w:rPr>
          <w:kern w:val="32"/>
          <w:sz w:val="22"/>
        </w:rPr>
        <w:t xml:space="preserve">La creación de un catálogo sistematizado de películas europeas y material pedagógico conexo que se pondrá a disposición de jóvenes de 11 a 18 años de edad que asistan a escuelas primarias y secundarias de los países participantes en el subprograma MEDIA.  </w:t>
      </w:r>
    </w:p>
    <w:p w:rsidR="001337F5" w:rsidRPr="001B4A37" w:rsidRDefault="001B4A37" w:rsidP="001337F5">
      <w:pPr>
        <w:spacing w:after="120"/>
        <w:jc w:val="both"/>
        <w:rPr>
          <w:rFonts w:eastAsia="Calibri"/>
          <w:kern w:val="32"/>
          <w:sz w:val="22"/>
          <w:szCs w:val="22"/>
        </w:rPr>
      </w:pPr>
      <w:r w:rsidRPr="001B4A37">
        <w:rPr>
          <w:kern w:val="32"/>
          <w:sz w:val="22"/>
        </w:rPr>
        <w:t xml:space="preserve">Dicho catálogo estará integrado por películas conocidas que hayan contribuido a la historia de la filmografía europea y que se utilizarán en el contexto de las actividades de educación cinematográfica. </w:t>
      </w:r>
    </w:p>
    <w:p w:rsidR="001337F5" w:rsidRPr="001B4A37" w:rsidRDefault="001B4A37" w:rsidP="001337F5">
      <w:pPr>
        <w:spacing w:after="120"/>
        <w:jc w:val="both"/>
        <w:rPr>
          <w:rFonts w:eastAsia="Calibri"/>
          <w:kern w:val="32"/>
          <w:sz w:val="22"/>
          <w:szCs w:val="22"/>
        </w:rPr>
      </w:pPr>
      <w:r w:rsidRPr="001B4A37">
        <w:rPr>
          <w:kern w:val="32"/>
          <w:sz w:val="22"/>
        </w:rPr>
        <w:t xml:space="preserve">El catálogo incluirá un mínimo de </w:t>
      </w:r>
      <w:r w:rsidR="00F46077">
        <w:rPr>
          <w:kern w:val="32"/>
          <w:sz w:val="22"/>
        </w:rPr>
        <w:t>7</w:t>
      </w:r>
      <w:r w:rsidRPr="001B4A37">
        <w:rPr>
          <w:kern w:val="32"/>
          <w:sz w:val="22"/>
        </w:rPr>
        <w:t xml:space="preserve"> largometrajes. </w:t>
      </w:r>
    </w:p>
    <w:p w:rsidR="001337F5" w:rsidRPr="001B4A37" w:rsidRDefault="001B4A37" w:rsidP="001337F5">
      <w:pPr>
        <w:spacing w:after="120"/>
        <w:jc w:val="both"/>
        <w:rPr>
          <w:rFonts w:eastAsia="Calibri"/>
          <w:kern w:val="32"/>
          <w:sz w:val="22"/>
          <w:szCs w:val="22"/>
        </w:rPr>
      </w:pPr>
      <w:r w:rsidRPr="001B4A37">
        <w:rPr>
          <w:kern w:val="32"/>
          <w:sz w:val="22"/>
        </w:rPr>
        <w:t xml:space="preserve">Los derechos de las películas que integren el catálogo se adquirirán por un periodo mínimo de </w:t>
      </w:r>
      <w:r w:rsidR="00F46077">
        <w:rPr>
          <w:kern w:val="32"/>
          <w:sz w:val="22"/>
        </w:rPr>
        <w:t>3</w:t>
      </w:r>
      <w:r w:rsidRPr="001B4A37">
        <w:rPr>
          <w:kern w:val="32"/>
          <w:sz w:val="22"/>
        </w:rPr>
        <w:t xml:space="preserve"> años y para todos los países participantes en el subprograma MEDIA. Se pondrán versiones lingüísticas (dobladas o subtituladas) de la mayoría de las películas del catálogo a disposición de todos los países participantes en el programa. </w:t>
      </w:r>
    </w:p>
    <w:p w:rsidR="001337F5" w:rsidRPr="001B4A37" w:rsidRDefault="001B4A37" w:rsidP="001337F5">
      <w:pPr>
        <w:spacing w:after="120"/>
        <w:jc w:val="both"/>
        <w:rPr>
          <w:rFonts w:eastAsia="Calibri"/>
          <w:kern w:val="32"/>
          <w:sz w:val="22"/>
          <w:szCs w:val="22"/>
        </w:rPr>
      </w:pPr>
      <w:r w:rsidRPr="001B4A37">
        <w:rPr>
          <w:kern w:val="32"/>
          <w:sz w:val="22"/>
        </w:rPr>
        <w:t xml:space="preserve">El catálogo mantendrá una cierta diversidad por razones de: </w:t>
      </w:r>
    </w:p>
    <w:p w:rsidR="001337F5"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nacionalidad</w:t>
      </w:r>
    </w:p>
    <w:p w:rsidR="001337F5"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idioma</w:t>
      </w:r>
    </w:p>
    <w:p w:rsidR="001337F5"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género cinematográfico</w:t>
      </w:r>
    </w:p>
    <w:p w:rsidR="001337F5"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año de producción</w:t>
      </w:r>
    </w:p>
    <w:p w:rsidR="001337F5"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temática</w:t>
      </w:r>
    </w:p>
    <w:p w:rsidR="00A51377" w:rsidRPr="001B4A37" w:rsidRDefault="001B4A37" w:rsidP="001337F5">
      <w:pPr>
        <w:spacing w:after="120"/>
        <w:jc w:val="both"/>
        <w:rPr>
          <w:rFonts w:eastAsia="Calibri"/>
          <w:kern w:val="32"/>
          <w:sz w:val="22"/>
          <w:szCs w:val="22"/>
        </w:rPr>
      </w:pPr>
      <w:r w:rsidRPr="001B4A37">
        <w:rPr>
          <w:kern w:val="32"/>
          <w:sz w:val="22"/>
        </w:rPr>
        <w:t>-</w:t>
      </w:r>
      <w:r w:rsidRPr="001B4A37">
        <w:tab/>
      </w:r>
      <w:r w:rsidRPr="001B4A37">
        <w:rPr>
          <w:kern w:val="32"/>
          <w:sz w:val="22"/>
        </w:rPr>
        <w:t>sexo</w:t>
      </w:r>
    </w:p>
    <w:p w:rsidR="001337F5" w:rsidRPr="001B4A37" w:rsidRDefault="001B4A37" w:rsidP="001337F5">
      <w:pPr>
        <w:spacing w:after="120"/>
        <w:jc w:val="both"/>
        <w:rPr>
          <w:rFonts w:eastAsia="Calibri"/>
          <w:kern w:val="32"/>
          <w:sz w:val="22"/>
          <w:szCs w:val="22"/>
        </w:rPr>
      </w:pPr>
      <w:r w:rsidRPr="001B4A37">
        <w:rPr>
          <w:kern w:val="32"/>
          <w:sz w:val="22"/>
        </w:rPr>
        <w:t xml:space="preserve">La publicación del catálogo deberá contemplar una ambiciosa campaña de comunicación para promocionar el proyecto entre los centros docentes y el público en general. </w:t>
      </w:r>
    </w:p>
    <w:p w:rsidR="000D59EB" w:rsidRPr="001B4A37" w:rsidRDefault="001B4A37" w:rsidP="000D59EB">
      <w:pPr>
        <w:spacing w:after="120"/>
        <w:jc w:val="both"/>
        <w:rPr>
          <w:rFonts w:eastAsia="Calibri"/>
          <w:kern w:val="32"/>
          <w:sz w:val="22"/>
          <w:szCs w:val="22"/>
        </w:rPr>
      </w:pPr>
      <w:r w:rsidRPr="001B4A37">
        <w:rPr>
          <w:kern w:val="32"/>
          <w:sz w:val="22"/>
        </w:rPr>
        <w:t xml:space="preserve">Comprenderá las siguientes actividades: la obtención de los derechos de las películas para usos educativos, la preparación de paquetes de doblaje o subtitulado, el material pedagógico y la difusión y la actividad promocional entre los centros docentes destinatarios y el público en general. </w:t>
      </w:r>
    </w:p>
    <w:p w:rsidR="001337F5" w:rsidRPr="001B4A37" w:rsidRDefault="001B4A37" w:rsidP="000D59EB">
      <w:pPr>
        <w:spacing w:after="120"/>
        <w:jc w:val="both"/>
        <w:rPr>
          <w:rFonts w:eastAsia="Arial Unicode MS"/>
          <w:sz w:val="22"/>
          <w:szCs w:val="22"/>
        </w:rPr>
      </w:pPr>
      <w:r w:rsidRPr="001B4A37">
        <w:rPr>
          <w:sz w:val="22"/>
        </w:rPr>
        <w:t>El periodo de cobertura de los costes comenzará el 1 de junio de 2019 y se prolongará durante 19 meses. El catálogo deberá estar preparado y disponible el 30 de septiembre de 2020 a más tardar. Los tres últimos meses de la acción deberán destinarse únicamente a la difusión y promoción del catálogo entre los centros docentes y el público en general.</w:t>
      </w:r>
    </w:p>
    <w:p w:rsidR="00E42571" w:rsidRPr="001B4A37" w:rsidRDefault="00626BB4" w:rsidP="00E42571">
      <w:pPr>
        <w:pStyle w:val="Heading1"/>
      </w:pPr>
      <w:r>
        <w:t>crit</w:t>
      </w:r>
      <w:bookmarkStart w:id="0" w:name="_GoBack"/>
      <w:bookmarkEnd w:id="0"/>
      <w:r>
        <w:t xml:space="preserve">erios de </w:t>
      </w:r>
      <w:r w:rsidR="001B4A37" w:rsidRPr="001B4A37">
        <w:t>concesión</w:t>
      </w:r>
    </w:p>
    <w:p w:rsidR="00AF5C23" w:rsidRPr="001B4A37" w:rsidRDefault="001B4A37" w:rsidP="0076735E">
      <w:pPr>
        <w:pStyle w:val="Text1"/>
        <w:ind w:left="0"/>
        <w:jc w:val="left"/>
        <w:rPr>
          <w:sz w:val="22"/>
          <w:szCs w:val="22"/>
        </w:rPr>
      </w:pPr>
      <w:r w:rsidRPr="001B4A37">
        <w:rPr>
          <w:sz w:val="22"/>
        </w:rPr>
        <w:t>Se asignarán puntos de un total de 100 con arreglo a los siguientes criterios:</w:t>
      </w:r>
    </w:p>
    <w:p w:rsidR="008C0A13" w:rsidRPr="001B4A37" w:rsidRDefault="001B4A37" w:rsidP="00871183">
      <w:pPr>
        <w:pStyle w:val="Text1"/>
        <w:spacing w:after="0"/>
        <w:ind w:left="0"/>
        <w:rPr>
          <w:spacing w:val="-3"/>
          <w:sz w:val="22"/>
          <w:szCs w:val="22"/>
        </w:rPr>
      </w:pPr>
      <w:r w:rsidRPr="001B4A37">
        <w:rPr>
          <w:spacing w:val="-3"/>
          <w:sz w:val="22"/>
          <w:u w:val="single"/>
        </w:rPr>
        <w:t xml:space="preserve">Pertinencia y valor añadido europeo </w:t>
      </w:r>
      <w:r w:rsidRPr="001B4A37">
        <w:rPr>
          <w:spacing w:val="-3"/>
          <w:sz w:val="22"/>
        </w:rPr>
        <w:t>(30 puntos):</w:t>
      </w:r>
    </w:p>
    <w:p w:rsidR="004E4528" w:rsidRPr="001B4A37" w:rsidRDefault="004E4528" w:rsidP="00871183">
      <w:pPr>
        <w:pStyle w:val="Text1"/>
        <w:spacing w:after="0"/>
        <w:ind w:left="0"/>
        <w:rPr>
          <w:spacing w:val="-3"/>
          <w:sz w:val="22"/>
          <w:szCs w:val="22"/>
        </w:rPr>
      </w:pPr>
    </w:p>
    <w:p w:rsidR="00A12485" w:rsidRPr="001B4A37" w:rsidRDefault="001B4A37" w:rsidP="001337F5">
      <w:pPr>
        <w:pStyle w:val="Text1"/>
        <w:ind w:left="0"/>
        <w:rPr>
          <w:spacing w:val="-3"/>
          <w:sz w:val="22"/>
          <w:szCs w:val="22"/>
        </w:rPr>
      </w:pPr>
      <w:r w:rsidRPr="001B4A37">
        <w:rPr>
          <w:sz w:val="22"/>
        </w:rPr>
        <w:t>Este criterio evalúa la pertinencia del contenido de la acción en relación con los objetivos de la convocatoria de propuestas. Se evaluará, en particular, la pertinencia de las películas propuestas en el catálogo y la capacidad de implantar el proyecto a escala europea, así como de llegar al público al que va destinado.</w:t>
      </w:r>
    </w:p>
    <w:p w:rsidR="008C0A13" w:rsidRPr="001B4A37" w:rsidRDefault="001B4A37" w:rsidP="00391C49">
      <w:pPr>
        <w:pStyle w:val="Text1"/>
        <w:spacing w:after="120"/>
        <w:ind w:left="0"/>
        <w:rPr>
          <w:spacing w:val="-3"/>
          <w:sz w:val="22"/>
          <w:szCs w:val="22"/>
        </w:rPr>
      </w:pPr>
      <w:r w:rsidRPr="001B4A37">
        <w:rPr>
          <w:spacing w:val="-3"/>
          <w:sz w:val="22"/>
          <w:u w:val="single"/>
        </w:rPr>
        <w:t>Calidad del contenido y las actividades</w:t>
      </w:r>
      <w:r w:rsidRPr="001B4A37">
        <w:rPr>
          <w:spacing w:val="-3"/>
          <w:sz w:val="22"/>
        </w:rPr>
        <w:t xml:space="preserve"> (30 puntos):</w:t>
      </w:r>
    </w:p>
    <w:p w:rsidR="00871183" w:rsidRPr="001B4A37" w:rsidRDefault="001B4A37" w:rsidP="008C0A13">
      <w:pPr>
        <w:pStyle w:val="Text1"/>
        <w:spacing w:after="0"/>
        <w:ind w:left="0"/>
        <w:rPr>
          <w:kern w:val="32"/>
          <w:sz w:val="22"/>
          <w:szCs w:val="22"/>
        </w:rPr>
      </w:pPr>
      <w:r w:rsidRPr="001B4A37">
        <w:rPr>
          <w:kern w:val="32"/>
          <w:sz w:val="22"/>
        </w:rPr>
        <w:t>Este criterio evalúa la calidad global y la viabilidad del proyecto, e incluye las características del catálogo y del material pedagógico y el uso estratégico de la tecnología digital y de diferentes plataformas de distribución para llegar al público destinatario, así como el modelo de consumo propuesto.</w:t>
      </w:r>
    </w:p>
    <w:p w:rsidR="001337F5" w:rsidRPr="001B4A37" w:rsidRDefault="001337F5" w:rsidP="008C0A13">
      <w:pPr>
        <w:pStyle w:val="Text1"/>
        <w:spacing w:after="0"/>
        <w:ind w:left="0"/>
        <w:rPr>
          <w:spacing w:val="-3"/>
          <w:sz w:val="22"/>
          <w:szCs w:val="22"/>
        </w:rPr>
      </w:pPr>
    </w:p>
    <w:p w:rsidR="008C0A13" w:rsidRPr="001B4A37" w:rsidRDefault="001B4A37" w:rsidP="00871183">
      <w:pPr>
        <w:pStyle w:val="Text1"/>
        <w:spacing w:after="120"/>
        <w:ind w:left="0"/>
        <w:rPr>
          <w:spacing w:val="-3"/>
          <w:sz w:val="22"/>
          <w:szCs w:val="22"/>
        </w:rPr>
      </w:pPr>
      <w:r w:rsidRPr="001B4A37">
        <w:rPr>
          <w:sz w:val="22"/>
          <w:u w:val="single"/>
        </w:rPr>
        <w:t>Difusión de los resultados del proyecto, impacto y sostenibilidad</w:t>
      </w:r>
      <w:r w:rsidRPr="001B4A37">
        <w:rPr>
          <w:sz w:val="22"/>
        </w:rPr>
        <w:t xml:space="preserve"> (20 puntos):</w:t>
      </w:r>
    </w:p>
    <w:p w:rsidR="00391C49" w:rsidRPr="001B4A37" w:rsidRDefault="001B4A37" w:rsidP="00391C49">
      <w:pPr>
        <w:tabs>
          <w:tab w:val="left" w:pos="4536"/>
        </w:tabs>
        <w:jc w:val="both"/>
        <w:rPr>
          <w:kern w:val="32"/>
          <w:sz w:val="22"/>
          <w:szCs w:val="22"/>
        </w:rPr>
      </w:pPr>
      <w:r w:rsidRPr="001B4A37">
        <w:rPr>
          <w:kern w:val="32"/>
          <w:sz w:val="22"/>
        </w:rPr>
        <w:t>Este criterio evalúa las estrategias propuestas para difundir el proyecto entre los centros docentes a los que va destinado, así como entre el público en general.</w:t>
      </w:r>
    </w:p>
    <w:p w:rsidR="001337F5" w:rsidRPr="001B4A37" w:rsidRDefault="001337F5" w:rsidP="00391C49">
      <w:pPr>
        <w:tabs>
          <w:tab w:val="left" w:pos="4536"/>
        </w:tabs>
        <w:jc w:val="both"/>
        <w:rPr>
          <w:kern w:val="32"/>
          <w:sz w:val="22"/>
          <w:szCs w:val="22"/>
        </w:rPr>
      </w:pPr>
    </w:p>
    <w:p w:rsidR="008C0A13" w:rsidRPr="001B4A37" w:rsidRDefault="001B4A37" w:rsidP="00391C49">
      <w:pPr>
        <w:tabs>
          <w:tab w:val="left" w:pos="4536"/>
        </w:tabs>
        <w:jc w:val="both"/>
        <w:rPr>
          <w:kern w:val="32"/>
          <w:sz w:val="22"/>
          <w:szCs w:val="22"/>
          <w:u w:val="single"/>
        </w:rPr>
      </w:pPr>
      <w:r w:rsidRPr="001B4A37">
        <w:rPr>
          <w:kern w:val="32"/>
          <w:sz w:val="22"/>
          <w:u w:val="single"/>
        </w:rPr>
        <w:t>Calidad del equipo del proyecto y de la agrupación (20 puntos):</w:t>
      </w:r>
    </w:p>
    <w:p w:rsidR="00A51377" w:rsidRPr="001B4A37" w:rsidRDefault="00A51377" w:rsidP="00391C49">
      <w:pPr>
        <w:tabs>
          <w:tab w:val="left" w:pos="4536"/>
        </w:tabs>
        <w:jc w:val="both"/>
        <w:rPr>
          <w:kern w:val="32"/>
          <w:sz w:val="22"/>
          <w:szCs w:val="22"/>
          <w:u w:val="single"/>
        </w:rPr>
      </w:pPr>
    </w:p>
    <w:p w:rsidR="00871183" w:rsidRPr="001B4A37" w:rsidRDefault="001B4A37" w:rsidP="001337F5">
      <w:pPr>
        <w:pStyle w:val="Text1"/>
        <w:spacing w:after="0"/>
        <w:ind w:left="0"/>
        <w:rPr>
          <w:sz w:val="22"/>
          <w:szCs w:val="22"/>
        </w:rPr>
      </w:pPr>
      <w:r w:rsidRPr="001B4A37">
        <w:rPr>
          <w:kern w:val="32"/>
          <w:sz w:val="22"/>
        </w:rPr>
        <w:t>Este criterio tendrá en cuenta el alcance de la asociación y el intercambio de conocimientos dentro de la misma, así como el reparto de funciones y responsabilidades con respecto a los objetivos de la acción.</w:t>
      </w:r>
    </w:p>
    <w:p w:rsidR="00E8071B" w:rsidRPr="001B4A37" w:rsidRDefault="00E8071B" w:rsidP="00E8071B">
      <w:pPr>
        <w:pStyle w:val="Heading1"/>
        <w:rPr>
          <w:sz w:val="22"/>
          <w:szCs w:val="22"/>
        </w:rPr>
      </w:pPr>
      <w:r w:rsidRPr="001B4A37">
        <w:rPr>
          <w:sz w:val="22"/>
          <w:szCs w:val="22"/>
        </w:rPr>
        <w:t>Presupuesto</w:t>
      </w:r>
      <w:r w:rsidRPr="001B4A37">
        <w:rPr>
          <w:b w:val="0"/>
          <w:sz w:val="22"/>
          <w:szCs w:val="22"/>
        </w:rPr>
        <w:t xml:space="preserve"> </w:t>
      </w:r>
    </w:p>
    <w:p w:rsidR="00E8071B" w:rsidRPr="001B4A37" w:rsidRDefault="00E8071B" w:rsidP="00E8071B">
      <w:pPr>
        <w:suppressAutoHyphens/>
        <w:jc w:val="both"/>
        <w:rPr>
          <w:spacing w:val="-3"/>
          <w:sz w:val="22"/>
          <w:szCs w:val="22"/>
        </w:rPr>
      </w:pPr>
      <w:r w:rsidRPr="001B4A37">
        <w:rPr>
          <w:spacing w:val="-3"/>
          <w:sz w:val="22"/>
        </w:rPr>
        <w:t xml:space="preserve">El presupuesto total disponible es de 1 millón de euros. </w:t>
      </w:r>
    </w:p>
    <w:p w:rsidR="00E8071B" w:rsidRPr="001B4A37" w:rsidRDefault="00E8071B" w:rsidP="00E8071B">
      <w:pPr>
        <w:suppressAutoHyphens/>
        <w:jc w:val="both"/>
        <w:rPr>
          <w:spacing w:val="-3"/>
          <w:sz w:val="22"/>
          <w:szCs w:val="22"/>
        </w:rPr>
      </w:pPr>
    </w:p>
    <w:p w:rsidR="004C5BE1" w:rsidRPr="001B4A37" w:rsidRDefault="00E8071B" w:rsidP="00E8071B">
      <w:pPr>
        <w:jc w:val="both"/>
        <w:rPr>
          <w:rFonts w:eastAsia="Arial Unicode MS"/>
          <w:sz w:val="22"/>
          <w:szCs w:val="22"/>
          <w:lang w:val="es-ES_tradnl"/>
        </w:rPr>
      </w:pPr>
      <w:r w:rsidRPr="001B4A37">
        <w:rPr>
          <w:rFonts w:eastAsia="Arial Unicode MS"/>
          <w:sz w:val="22"/>
          <w:szCs w:val="22"/>
          <w:lang w:eastAsia="en-GB" w:bidi="ar-SA"/>
        </w:rPr>
        <w:t>La contribución económica de la Unión no podrá superar el 80% del coste total subvencionable de la acción</w:t>
      </w:r>
    </w:p>
    <w:p w:rsidR="00E8071B" w:rsidRPr="001B4A37" w:rsidRDefault="00E8071B" w:rsidP="00E8071B">
      <w:pPr>
        <w:keepNext/>
        <w:numPr>
          <w:ilvl w:val="0"/>
          <w:numId w:val="1"/>
        </w:numPr>
        <w:spacing w:before="240" w:after="240"/>
        <w:jc w:val="both"/>
        <w:outlineLvl w:val="0"/>
        <w:rPr>
          <w:b/>
          <w:smallCaps/>
          <w:sz w:val="22"/>
          <w:szCs w:val="22"/>
          <w:lang w:eastAsia="en-US" w:bidi="ar-SA"/>
        </w:rPr>
      </w:pPr>
      <w:r w:rsidRPr="001B4A37">
        <w:rPr>
          <w:b/>
          <w:smallCaps/>
          <w:sz w:val="22"/>
          <w:szCs w:val="22"/>
          <w:lang w:eastAsia="en-US" w:bidi="ar-SA"/>
        </w:rPr>
        <w:t>Plazo para la presentación de solicitudes</w:t>
      </w:r>
    </w:p>
    <w:p w:rsidR="00E8071B" w:rsidRPr="001B4A37" w:rsidRDefault="00E8071B" w:rsidP="00E8071B">
      <w:pPr>
        <w:autoSpaceDE w:val="0"/>
        <w:autoSpaceDN w:val="0"/>
        <w:adjustRightInd w:val="0"/>
        <w:spacing w:after="60" w:line="276" w:lineRule="auto"/>
        <w:jc w:val="both"/>
        <w:rPr>
          <w:bCs/>
          <w:sz w:val="22"/>
          <w:szCs w:val="22"/>
        </w:rPr>
      </w:pPr>
      <w:r w:rsidRPr="001B4A37">
        <w:rPr>
          <w:sz w:val="22"/>
        </w:rPr>
        <w:t>Las propuestas se presentarán a más tardar el</w:t>
      </w:r>
      <w:r w:rsidRPr="00F46077">
        <w:rPr>
          <w:b/>
          <w:sz w:val="22"/>
        </w:rPr>
        <w:t xml:space="preserve"> 7</w:t>
      </w:r>
      <w:r w:rsidRPr="001B4A37">
        <w:rPr>
          <w:b/>
          <w:sz w:val="22"/>
        </w:rPr>
        <w:t xml:space="preserve"> de marzo de 2019 </w:t>
      </w:r>
      <w:r w:rsidRPr="001B4A37">
        <w:rPr>
          <w:sz w:val="22"/>
        </w:rPr>
        <w:t xml:space="preserve">a las </w:t>
      </w:r>
      <w:r w:rsidRPr="001B4A37">
        <w:rPr>
          <w:b/>
          <w:sz w:val="22"/>
        </w:rPr>
        <w:t>12.00 horas</w:t>
      </w:r>
      <w:r w:rsidRPr="001B4A37">
        <w:rPr>
          <w:sz w:val="22"/>
        </w:rPr>
        <w:t xml:space="preserve"> del mediodía (huso horario de Bruselas), utilizando el formulario de solicitud en línea (</w:t>
      </w:r>
      <w:proofErr w:type="spellStart"/>
      <w:r w:rsidRPr="001B4A37">
        <w:rPr>
          <w:sz w:val="22"/>
        </w:rPr>
        <w:t>eForm</w:t>
      </w:r>
      <w:proofErr w:type="spellEnd"/>
      <w:r w:rsidRPr="001B4A37">
        <w:rPr>
          <w:sz w:val="22"/>
        </w:rPr>
        <w:t xml:space="preserve">). </w:t>
      </w:r>
      <w:r w:rsidRPr="001B4A37">
        <w:rPr>
          <w:bCs/>
          <w:sz w:val="22"/>
          <w:szCs w:val="22"/>
        </w:rPr>
        <w:t xml:space="preserve">No se aceptará ningún otro método de presentación de solicitudes. </w:t>
      </w:r>
    </w:p>
    <w:p w:rsidR="00E8071B" w:rsidRPr="001B4A37" w:rsidRDefault="00E8071B" w:rsidP="00E8071B">
      <w:pPr>
        <w:autoSpaceDE w:val="0"/>
        <w:autoSpaceDN w:val="0"/>
        <w:adjustRightInd w:val="0"/>
        <w:spacing w:after="60" w:line="276" w:lineRule="auto"/>
        <w:jc w:val="both"/>
        <w:rPr>
          <w:bCs/>
          <w:sz w:val="22"/>
          <w:szCs w:val="22"/>
        </w:rPr>
      </w:pPr>
      <w:r w:rsidRPr="001B4A37">
        <w:rPr>
          <w:bCs/>
          <w:sz w:val="22"/>
          <w:szCs w:val="22"/>
        </w:rPr>
        <w:t>Los solicitantes se asegurarán de que presentan todos los documentos que se solicitan y mencionan en los formularios electrónicos.</w:t>
      </w:r>
    </w:p>
    <w:p w:rsidR="00E8071B" w:rsidRPr="001B4A37" w:rsidRDefault="00E8071B" w:rsidP="00E8071B">
      <w:pPr>
        <w:keepNext/>
        <w:numPr>
          <w:ilvl w:val="0"/>
          <w:numId w:val="1"/>
        </w:numPr>
        <w:spacing w:before="240" w:after="240"/>
        <w:jc w:val="both"/>
        <w:outlineLvl w:val="0"/>
        <w:rPr>
          <w:b/>
          <w:smallCaps/>
          <w:sz w:val="22"/>
          <w:szCs w:val="22"/>
          <w:lang w:eastAsia="en-US" w:bidi="ar-SA"/>
        </w:rPr>
      </w:pPr>
      <w:r w:rsidRPr="001B4A37">
        <w:rPr>
          <w:b/>
          <w:smallCaps/>
          <w:sz w:val="22"/>
          <w:szCs w:val="22"/>
          <w:lang w:eastAsia="en-US" w:bidi="ar-SA"/>
        </w:rPr>
        <w:t>Información completa</w:t>
      </w:r>
    </w:p>
    <w:p w:rsidR="00E8071B" w:rsidRPr="001B4A37" w:rsidRDefault="00E8071B" w:rsidP="00E8071B">
      <w:pPr>
        <w:jc w:val="both"/>
        <w:rPr>
          <w:sz w:val="22"/>
          <w:szCs w:val="22"/>
          <w:lang w:eastAsia="en-US" w:bidi="ar-SA"/>
        </w:rPr>
      </w:pPr>
      <w:r w:rsidRPr="001B4A37">
        <w:rPr>
          <w:sz w:val="22"/>
          <w:szCs w:val="22"/>
          <w:lang w:eastAsia="en-US" w:bidi="ar-SA"/>
        </w:rPr>
        <w:t xml:space="preserve">El texto completo de la convocatoria junto con los formularios de solicitud se </w:t>
      </w:r>
      <w:proofErr w:type="gramStart"/>
      <w:r w:rsidRPr="001B4A37">
        <w:rPr>
          <w:sz w:val="22"/>
          <w:szCs w:val="22"/>
          <w:lang w:eastAsia="en-US" w:bidi="ar-SA"/>
        </w:rPr>
        <w:t>pueden</w:t>
      </w:r>
      <w:proofErr w:type="gramEnd"/>
      <w:r w:rsidRPr="001B4A37">
        <w:rPr>
          <w:sz w:val="22"/>
          <w:szCs w:val="22"/>
          <w:lang w:eastAsia="en-US" w:bidi="ar-SA"/>
        </w:rPr>
        <w:t xml:space="preserve"> encontrar en la siguiente dirección de Internet:</w:t>
      </w:r>
    </w:p>
    <w:p w:rsidR="001B4A37" w:rsidRPr="001B4A37" w:rsidRDefault="001B4A37" w:rsidP="00E8071B">
      <w:pPr>
        <w:jc w:val="both"/>
        <w:rPr>
          <w:sz w:val="22"/>
          <w:szCs w:val="22"/>
          <w:lang w:eastAsia="en-US" w:bidi="ar-SA"/>
        </w:rPr>
      </w:pPr>
    </w:p>
    <w:p w:rsidR="00C3529D" w:rsidRPr="001B4A37" w:rsidRDefault="00626BB4" w:rsidP="00DA688A">
      <w:pPr>
        <w:spacing w:after="100" w:afterAutospacing="1"/>
      </w:pPr>
      <w:hyperlink r:id="rId11" w:history="1">
        <w:r w:rsidR="001B4A37" w:rsidRPr="001B4A37">
          <w:rPr>
            <w:rStyle w:val="Hyperlink"/>
            <w:color w:val="auto"/>
            <w:sz w:val="22"/>
          </w:rPr>
          <w:t>https://eacea.ec.europa.eu/creative-europe/funding/support-for-film-education-2019_en</w:t>
        </w:r>
      </w:hyperlink>
    </w:p>
    <w:p w:rsidR="001B4A37" w:rsidRPr="001B4A37" w:rsidRDefault="001B4A37" w:rsidP="00DA688A">
      <w:pPr>
        <w:spacing w:after="100" w:afterAutospacing="1"/>
        <w:rPr>
          <w:rFonts w:eastAsia="Calibri"/>
          <w:sz w:val="22"/>
          <w:szCs w:val="22"/>
        </w:rPr>
      </w:pPr>
    </w:p>
    <w:p w:rsidR="00E8071B" w:rsidRPr="004F1BB2" w:rsidRDefault="00E8071B" w:rsidP="00E8071B">
      <w:pPr>
        <w:pStyle w:val="Text1"/>
        <w:spacing w:after="0"/>
        <w:ind w:left="0"/>
        <w:rPr>
          <w:sz w:val="22"/>
          <w:szCs w:val="22"/>
        </w:rPr>
      </w:pPr>
      <w:r w:rsidRPr="001B4A37">
        <w:rPr>
          <w:sz w:val="22"/>
          <w:szCs w:val="22"/>
        </w:rPr>
        <w:t>Las solicitudes deberán respetar obligatoriamente las disposiciones del texto completo de la convocatoria y deberán presentarse en los formularios electrónicos facilitados.</w:t>
      </w:r>
    </w:p>
    <w:p w:rsidR="0096458A" w:rsidRPr="00E8071B" w:rsidRDefault="0096458A" w:rsidP="00DA688A">
      <w:pPr>
        <w:pStyle w:val="Text1"/>
        <w:spacing w:after="100" w:afterAutospacing="1"/>
        <w:ind w:left="0"/>
        <w:rPr>
          <w:sz w:val="22"/>
          <w:szCs w:val="22"/>
        </w:rPr>
      </w:pPr>
    </w:p>
    <w:p w:rsidR="003A3F2C" w:rsidRPr="00E8071B" w:rsidRDefault="003A3F2C" w:rsidP="0096458A">
      <w:pPr>
        <w:tabs>
          <w:tab w:val="left" w:pos="360"/>
        </w:tabs>
        <w:suppressAutoHyphens/>
        <w:jc w:val="both"/>
        <w:rPr>
          <w:sz w:val="22"/>
          <w:szCs w:val="22"/>
          <w:lang w:val="es-ES_tradnl"/>
        </w:rPr>
      </w:pPr>
    </w:p>
    <w:sectPr w:rsidR="003A3F2C" w:rsidRPr="00E8071B"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762" w:rsidRDefault="001B4A37">
      <w:r>
        <w:separator/>
      </w:r>
    </w:p>
  </w:endnote>
  <w:endnote w:type="continuationSeparator" w:id="0">
    <w:p w:rsidR="00BD6762" w:rsidRDefault="001B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1B4A37">
    <w:pPr>
      <w:pStyle w:val="Footer"/>
      <w:jc w:val="center"/>
    </w:pPr>
    <w:r>
      <w:fldChar w:fldCharType="begin"/>
    </w:r>
    <w:r>
      <w:instrText>PAGE</w:instrText>
    </w:r>
    <w:r>
      <w:fldChar w:fldCharType="separate"/>
    </w:r>
    <w:r w:rsidR="00626BB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1B4A37">
      <w:r>
        <w:separator/>
      </w:r>
    </w:p>
  </w:footnote>
  <w:footnote w:type="continuationSeparator" w:id="0">
    <w:p w:rsidR="00174730" w:rsidRDefault="001B4A37">
      <w:r>
        <w:continuationSeparator/>
      </w:r>
    </w:p>
  </w:footnote>
  <w:footnote w:id="1">
    <w:p w:rsidR="00E8071B" w:rsidRDefault="00E8071B" w:rsidP="00E8071B">
      <w:pPr>
        <w:pStyle w:val="FootnoteText"/>
      </w:pPr>
      <w:r>
        <w:rPr>
          <w:rStyle w:val="FootnoteReference"/>
        </w:rPr>
        <w:footnoteRef/>
      </w:r>
      <w:r>
        <w:t xml:space="preserve"> </w:t>
      </w:r>
      <w:r>
        <w:rPr>
          <w:rFonts w:eastAsia="Arial Unicode MS"/>
          <w:sz w:val="16"/>
          <w:szCs w:val="16"/>
        </w:rPr>
        <w:t>Reglamento nº 1295/2013, Diario Oficial de la Unión Europea de 20 de diciembre de 2013</w:t>
      </w:r>
      <w:r>
        <w:rPr>
          <w:rFonts w:eastAsia="Arial Unicode MS"/>
          <w:color w:val="000000"/>
          <w:sz w:val="16"/>
          <w:szCs w:val="16"/>
        </w:rPr>
        <w:t xml:space="preserve"> (DO L347/221).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BCDCDB6E">
      <w:start w:val="1"/>
      <w:numFmt w:val="bullet"/>
      <w:lvlText w:val=""/>
      <w:lvlJc w:val="left"/>
      <w:pPr>
        <w:ind w:left="720" w:hanging="360"/>
      </w:pPr>
      <w:rPr>
        <w:rFonts w:ascii="Symbol" w:hAnsi="Symbol" w:hint="default"/>
      </w:rPr>
    </w:lvl>
    <w:lvl w:ilvl="1" w:tplc="8F42819E" w:tentative="1">
      <w:start w:val="1"/>
      <w:numFmt w:val="bullet"/>
      <w:lvlText w:val="o"/>
      <w:lvlJc w:val="left"/>
      <w:pPr>
        <w:ind w:left="1440" w:hanging="360"/>
      </w:pPr>
      <w:rPr>
        <w:rFonts w:ascii="Courier New" w:hAnsi="Courier New" w:cs="Courier New" w:hint="default"/>
      </w:rPr>
    </w:lvl>
    <w:lvl w:ilvl="2" w:tplc="0D8E4698" w:tentative="1">
      <w:start w:val="1"/>
      <w:numFmt w:val="bullet"/>
      <w:lvlText w:val=""/>
      <w:lvlJc w:val="left"/>
      <w:pPr>
        <w:ind w:left="2160" w:hanging="360"/>
      </w:pPr>
      <w:rPr>
        <w:rFonts w:ascii="Wingdings" w:hAnsi="Wingdings" w:hint="default"/>
      </w:rPr>
    </w:lvl>
    <w:lvl w:ilvl="3" w:tplc="891A0C00" w:tentative="1">
      <w:start w:val="1"/>
      <w:numFmt w:val="bullet"/>
      <w:lvlText w:val=""/>
      <w:lvlJc w:val="left"/>
      <w:pPr>
        <w:ind w:left="2880" w:hanging="360"/>
      </w:pPr>
      <w:rPr>
        <w:rFonts w:ascii="Symbol" w:hAnsi="Symbol" w:hint="default"/>
      </w:rPr>
    </w:lvl>
    <w:lvl w:ilvl="4" w:tplc="B9B27698" w:tentative="1">
      <w:start w:val="1"/>
      <w:numFmt w:val="bullet"/>
      <w:lvlText w:val="o"/>
      <w:lvlJc w:val="left"/>
      <w:pPr>
        <w:ind w:left="3600" w:hanging="360"/>
      </w:pPr>
      <w:rPr>
        <w:rFonts w:ascii="Courier New" w:hAnsi="Courier New" w:cs="Courier New" w:hint="default"/>
      </w:rPr>
    </w:lvl>
    <w:lvl w:ilvl="5" w:tplc="3C027988" w:tentative="1">
      <w:start w:val="1"/>
      <w:numFmt w:val="bullet"/>
      <w:lvlText w:val=""/>
      <w:lvlJc w:val="left"/>
      <w:pPr>
        <w:ind w:left="4320" w:hanging="360"/>
      </w:pPr>
      <w:rPr>
        <w:rFonts w:ascii="Wingdings" w:hAnsi="Wingdings" w:hint="default"/>
      </w:rPr>
    </w:lvl>
    <w:lvl w:ilvl="6" w:tplc="BB3C846C" w:tentative="1">
      <w:start w:val="1"/>
      <w:numFmt w:val="bullet"/>
      <w:lvlText w:val=""/>
      <w:lvlJc w:val="left"/>
      <w:pPr>
        <w:ind w:left="5040" w:hanging="360"/>
      </w:pPr>
      <w:rPr>
        <w:rFonts w:ascii="Symbol" w:hAnsi="Symbol" w:hint="default"/>
      </w:rPr>
    </w:lvl>
    <w:lvl w:ilvl="7" w:tplc="9BC445A6" w:tentative="1">
      <w:start w:val="1"/>
      <w:numFmt w:val="bullet"/>
      <w:lvlText w:val="o"/>
      <w:lvlJc w:val="left"/>
      <w:pPr>
        <w:ind w:left="5760" w:hanging="360"/>
      </w:pPr>
      <w:rPr>
        <w:rFonts w:ascii="Courier New" w:hAnsi="Courier New" w:cs="Courier New" w:hint="default"/>
      </w:rPr>
    </w:lvl>
    <w:lvl w:ilvl="8" w:tplc="5A062090"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7918EF32">
      <w:numFmt w:val="bullet"/>
      <w:lvlText w:val="−"/>
      <w:lvlJc w:val="left"/>
      <w:pPr>
        <w:ind w:left="1440" w:hanging="360"/>
      </w:pPr>
      <w:rPr>
        <w:rFonts w:ascii="Times" w:eastAsia="Times New Roman" w:hAnsi="Times" w:cs="Times New Roman" w:hint="default"/>
      </w:rPr>
    </w:lvl>
    <w:lvl w:ilvl="1" w:tplc="10BC48FC">
      <w:start w:val="1"/>
      <w:numFmt w:val="bullet"/>
      <w:lvlText w:val="o"/>
      <w:lvlJc w:val="left"/>
      <w:pPr>
        <w:ind w:left="2160" w:hanging="360"/>
      </w:pPr>
      <w:rPr>
        <w:rFonts w:ascii="Courier New" w:hAnsi="Courier New" w:cs="Times New Roman" w:hint="default"/>
      </w:rPr>
    </w:lvl>
    <w:lvl w:ilvl="2" w:tplc="50EA9FC2">
      <w:start w:val="1"/>
      <w:numFmt w:val="bullet"/>
      <w:lvlText w:val=""/>
      <w:lvlJc w:val="left"/>
      <w:pPr>
        <w:ind w:left="2880" w:hanging="360"/>
      </w:pPr>
      <w:rPr>
        <w:rFonts w:ascii="Wingdings" w:hAnsi="Wingdings" w:hint="default"/>
      </w:rPr>
    </w:lvl>
    <w:lvl w:ilvl="3" w:tplc="84EE15F6">
      <w:start w:val="1"/>
      <w:numFmt w:val="bullet"/>
      <w:lvlText w:val=""/>
      <w:lvlJc w:val="left"/>
      <w:pPr>
        <w:ind w:left="3600" w:hanging="360"/>
      </w:pPr>
      <w:rPr>
        <w:rFonts w:ascii="Symbol" w:hAnsi="Symbol" w:hint="default"/>
      </w:rPr>
    </w:lvl>
    <w:lvl w:ilvl="4" w:tplc="F814C320">
      <w:start w:val="1"/>
      <w:numFmt w:val="bullet"/>
      <w:lvlText w:val="o"/>
      <w:lvlJc w:val="left"/>
      <w:pPr>
        <w:ind w:left="4320" w:hanging="360"/>
      </w:pPr>
      <w:rPr>
        <w:rFonts w:ascii="Courier New" w:hAnsi="Courier New" w:cs="Times New Roman" w:hint="default"/>
      </w:rPr>
    </w:lvl>
    <w:lvl w:ilvl="5" w:tplc="5194F4B2">
      <w:start w:val="1"/>
      <w:numFmt w:val="bullet"/>
      <w:lvlText w:val=""/>
      <w:lvlJc w:val="left"/>
      <w:pPr>
        <w:ind w:left="5040" w:hanging="360"/>
      </w:pPr>
      <w:rPr>
        <w:rFonts w:ascii="Wingdings" w:hAnsi="Wingdings" w:hint="default"/>
      </w:rPr>
    </w:lvl>
    <w:lvl w:ilvl="6" w:tplc="F10863EC">
      <w:start w:val="1"/>
      <w:numFmt w:val="bullet"/>
      <w:lvlText w:val=""/>
      <w:lvlJc w:val="left"/>
      <w:pPr>
        <w:ind w:left="5760" w:hanging="360"/>
      </w:pPr>
      <w:rPr>
        <w:rFonts w:ascii="Symbol" w:hAnsi="Symbol" w:hint="default"/>
      </w:rPr>
    </w:lvl>
    <w:lvl w:ilvl="7" w:tplc="D00CF480">
      <w:start w:val="1"/>
      <w:numFmt w:val="bullet"/>
      <w:lvlText w:val="o"/>
      <w:lvlJc w:val="left"/>
      <w:pPr>
        <w:ind w:left="6480" w:hanging="360"/>
      </w:pPr>
      <w:rPr>
        <w:rFonts w:ascii="Courier New" w:hAnsi="Courier New" w:cs="Times New Roman" w:hint="default"/>
      </w:rPr>
    </w:lvl>
    <w:lvl w:ilvl="8" w:tplc="80A6D1A2">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72883066">
      <w:start w:val="1"/>
      <w:numFmt w:val="bullet"/>
      <w:lvlText w:val=""/>
      <w:lvlJc w:val="left"/>
      <w:pPr>
        <w:tabs>
          <w:tab w:val="num" w:pos="360"/>
        </w:tabs>
        <w:ind w:left="360" w:hanging="360"/>
      </w:pPr>
      <w:rPr>
        <w:rFonts w:ascii="Symbol" w:hAnsi="Symbol" w:hint="default"/>
      </w:rPr>
    </w:lvl>
    <w:lvl w:ilvl="1" w:tplc="3AA8CAB4" w:tentative="1">
      <w:start w:val="1"/>
      <w:numFmt w:val="bullet"/>
      <w:lvlText w:val="o"/>
      <w:lvlJc w:val="left"/>
      <w:pPr>
        <w:tabs>
          <w:tab w:val="num" w:pos="1080"/>
        </w:tabs>
        <w:ind w:left="1080" w:hanging="360"/>
      </w:pPr>
      <w:rPr>
        <w:rFonts w:ascii="Courier New" w:hAnsi="Courier New" w:cs="Courier New" w:hint="default"/>
      </w:rPr>
    </w:lvl>
    <w:lvl w:ilvl="2" w:tplc="FE5A7C26" w:tentative="1">
      <w:start w:val="1"/>
      <w:numFmt w:val="bullet"/>
      <w:lvlText w:val=""/>
      <w:lvlJc w:val="left"/>
      <w:pPr>
        <w:tabs>
          <w:tab w:val="num" w:pos="1800"/>
        </w:tabs>
        <w:ind w:left="1800" w:hanging="360"/>
      </w:pPr>
      <w:rPr>
        <w:rFonts w:ascii="Wingdings" w:hAnsi="Wingdings" w:hint="default"/>
      </w:rPr>
    </w:lvl>
    <w:lvl w:ilvl="3" w:tplc="4B4E546C" w:tentative="1">
      <w:start w:val="1"/>
      <w:numFmt w:val="bullet"/>
      <w:lvlText w:val=""/>
      <w:lvlJc w:val="left"/>
      <w:pPr>
        <w:tabs>
          <w:tab w:val="num" w:pos="2520"/>
        </w:tabs>
        <w:ind w:left="2520" w:hanging="360"/>
      </w:pPr>
      <w:rPr>
        <w:rFonts w:ascii="Symbol" w:hAnsi="Symbol" w:hint="default"/>
      </w:rPr>
    </w:lvl>
    <w:lvl w:ilvl="4" w:tplc="3D704B16" w:tentative="1">
      <w:start w:val="1"/>
      <w:numFmt w:val="bullet"/>
      <w:lvlText w:val="o"/>
      <w:lvlJc w:val="left"/>
      <w:pPr>
        <w:tabs>
          <w:tab w:val="num" w:pos="3240"/>
        </w:tabs>
        <w:ind w:left="3240" w:hanging="360"/>
      </w:pPr>
      <w:rPr>
        <w:rFonts w:ascii="Courier New" w:hAnsi="Courier New" w:cs="Courier New" w:hint="default"/>
      </w:rPr>
    </w:lvl>
    <w:lvl w:ilvl="5" w:tplc="E5DA7AF0" w:tentative="1">
      <w:start w:val="1"/>
      <w:numFmt w:val="bullet"/>
      <w:lvlText w:val=""/>
      <w:lvlJc w:val="left"/>
      <w:pPr>
        <w:tabs>
          <w:tab w:val="num" w:pos="3960"/>
        </w:tabs>
        <w:ind w:left="3960" w:hanging="360"/>
      </w:pPr>
      <w:rPr>
        <w:rFonts w:ascii="Wingdings" w:hAnsi="Wingdings" w:hint="default"/>
      </w:rPr>
    </w:lvl>
    <w:lvl w:ilvl="6" w:tplc="DB6AEF44" w:tentative="1">
      <w:start w:val="1"/>
      <w:numFmt w:val="bullet"/>
      <w:lvlText w:val=""/>
      <w:lvlJc w:val="left"/>
      <w:pPr>
        <w:tabs>
          <w:tab w:val="num" w:pos="4680"/>
        </w:tabs>
        <w:ind w:left="4680" w:hanging="360"/>
      </w:pPr>
      <w:rPr>
        <w:rFonts w:ascii="Symbol" w:hAnsi="Symbol" w:hint="default"/>
      </w:rPr>
    </w:lvl>
    <w:lvl w:ilvl="7" w:tplc="B1CA2548" w:tentative="1">
      <w:start w:val="1"/>
      <w:numFmt w:val="bullet"/>
      <w:lvlText w:val="o"/>
      <w:lvlJc w:val="left"/>
      <w:pPr>
        <w:tabs>
          <w:tab w:val="num" w:pos="5400"/>
        </w:tabs>
        <w:ind w:left="5400" w:hanging="360"/>
      </w:pPr>
      <w:rPr>
        <w:rFonts w:ascii="Courier New" w:hAnsi="Courier New" w:cs="Courier New" w:hint="default"/>
      </w:rPr>
    </w:lvl>
    <w:lvl w:ilvl="8" w:tplc="B9546AA6"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6FE8756C">
      <w:start w:val="1"/>
      <w:numFmt w:val="bullet"/>
      <w:lvlText w:val=""/>
      <w:lvlJc w:val="left"/>
      <w:pPr>
        <w:ind w:left="786" w:hanging="360"/>
      </w:pPr>
      <w:rPr>
        <w:rFonts w:ascii="Symbol" w:hAnsi="Symbol" w:hint="default"/>
      </w:rPr>
    </w:lvl>
    <w:lvl w:ilvl="1" w:tplc="2C202938" w:tentative="1">
      <w:start w:val="1"/>
      <w:numFmt w:val="bullet"/>
      <w:lvlText w:val="o"/>
      <w:lvlJc w:val="left"/>
      <w:pPr>
        <w:ind w:left="1506" w:hanging="360"/>
      </w:pPr>
      <w:rPr>
        <w:rFonts w:ascii="Courier New" w:hAnsi="Courier New" w:cs="Courier New" w:hint="default"/>
      </w:rPr>
    </w:lvl>
    <w:lvl w:ilvl="2" w:tplc="8E467C6A" w:tentative="1">
      <w:start w:val="1"/>
      <w:numFmt w:val="bullet"/>
      <w:lvlText w:val=""/>
      <w:lvlJc w:val="left"/>
      <w:pPr>
        <w:ind w:left="2226" w:hanging="360"/>
      </w:pPr>
      <w:rPr>
        <w:rFonts w:ascii="Wingdings" w:hAnsi="Wingdings" w:hint="default"/>
      </w:rPr>
    </w:lvl>
    <w:lvl w:ilvl="3" w:tplc="7D244E1E" w:tentative="1">
      <w:start w:val="1"/>
      <w:numFmt w:val="bullet"/>
      <w:lvlText w:val=""/>
      <w:lvlJc w:val="left"/>
      <w:pPr>
        <w:ind w:left="2946" w:hanging="360"/>
      </w:pPr>
      <w:rPr>
        <w:rFonts w:ascii="Symbol" w:hAnsi="Symbol" w:hint="default"/>
      </w:rPr>
    </w:lvl>
    <w:lvl w:ilvl="4" w:tplc="2584A47E" w:tentative="1">
      <w:start w:val="1"/>
      <w:numFmt w:val="bullet"/>
      <w:lvlText w:val="o"/>
      <w:lvlJc w:val="left"/>
      <w:pPr>
        <w:ind w:left="3666" w:hanging="360"/>
      </w:pPr>
      <w:rPr>
        <w:rFonts w:ascii="Courier New" w:hAnsi="Courier New" w:cs="Courier New" w:hint="default"/>
      </w:rPr>
    </w:lvl>
    <w:lvl w:ilvl="5" w:tplc="1F88FD44" w:tentative="1">
      <w:start w:val="1"/>
      <w:numFmt w:val="bullet"/>
      <w:lvlText w:val=""/>
      <w:lvlJc w:val="left"/>
      <w:pPr>
        <w:ind w:left="4386" w:hanging="360"/>
      </w:pPr>
      <w:rPr>
        <w:rFonts w:ascii="Wingdings" w:hAnsi="Wingdings" w:hint="default"/>
      </w:rPr>
    </w:lvl>
    <w:lvl w:ilvl="6" w:tplc="A1FCB4DC" w:tentative="1">
      <w:start w:val="1"/>
      <w:numFmt w:val="bullet"/>
      <w:lvlText w:val=""/>
      <w:lvlJc w:val="left"/>
      <w:pPr>
        <w:ind w:left="5106" w:hanging="360"/>
      </w:pPr>
      <w:rPr>
        <w:rFonts w:ascii="Symbol" w:hAnsi="Symbol" w:hint="default"/>
      </w:rPr>
    </w:lvl>
    <w:lvl w:ilvl="7" w:tplc="E5EAE194" w:tentative="1">
      <w:start w:val="1"/>
      <w:numFmt w:val="bullet"/>
      <w:lvlText w:val="o"/>
      <w:lvlJc w:val="left"/>
      <w:pPr>
        <w:ind w:left="5826" w:hanging="360"/>
      </w:pPr>
      <w:rPr>
        <w:rFonts w:ascii="Courier New" w:hAnsi="Courier New" w:cs="Courier New" w:hint="default"/>
      </w:rPr>
    </w:lvl>
    <w:lvl w:ilvl="8" w:tplc="B0E6E57A"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2CBEC55A">
      <w:numFmt w:val="bullet"/>
      <w:lvlText w:val="-"/>
      <w:lvlJc w:val="left"/>
      <w:pPr>
        <w:ind w:left="720" w:hanging="360"/>
      </w:pPr>
      <w:rPr>
        <w:rFonts w:ascii="Arial" w:eastAsia="Times New Roman" w:hAnsi="Arial" w:cs="Arial" w:hint="default"/>
      </w:rPr>
    </w:lvl>
    <w:lvl w:ilvl="1" w:tplc="9CCA964E">
      <w:start w:val="1"/>
      <w:numFmt w:val="bullet"/>
      <w:lvlText w:val=""/>
      <w:lvlJc w:val="left"/>
      <w:pPr>
        <w:ind w:left="1440" w:hanging="360"/>
      </w:pPr>
      <w:rPr>
        <w:rFonts w:ascii="Symbol" w:hAnsi="Symbol" w:hint="default"/>
      </w:rPr>
    </w:lvl>
    <w:lvl w:ilvl="2" w:tplc="ABF20CE8" w:tentative="1">
      <w:start w:val="1"/>
      <w:numFmt w:val="bullet"/>
      <w:lvlText w:val=""/>
      <w:lvlJc w:val="left"/>
      <w:pPr>
        <w:ind w:left="2160" w:hanging="360"/>
      </w:pPr>
      <w:rPr>
        <w:rFonts w:ascii="Wingdings" w:hAnsi="Wingdings" w:hint="default"/>
      </w:rPr>
    </w:lvl>
    <w:lvl w:ilvl="3" w:tplc="70E6B22E" w:tentative="1">
      <w:start w:val="1"/>
      <w:numFmt w:val="bullet"/>
      <w:lvlText w:val=""/>
      <w:lvlJc w:val="left"/>
      <w:pPr>
        <w:ind w:left="2880" w:hanging="360"/>
      </w:pPr>
      <w:rPr>
        <w:rFonts w:ascii="Symbol" w:hAnsi="Symbol" w:hint="default"/>
      </w:rPr>
    </w:lvl>
    <w:lvl w:ilvl="4" w:tplc="02D2AF50" w:tentative="1">
      <w:start w:val="1"/>
      <w:numFmt w:val="bullet"/>
      <w:lvlText w:val="o"/>
      <w:lvlJc w:val="left"/>
      <w:pPr>
        <w:ind w:left="3600" w:hanging="360"/>
      </w:pPr>
      <w:rPr>
        <w:rFonts w:ascii="Courier New" w:hAnsi="Courier New" w:cs="Courier New" w:hint="default"/>
      </w:rPr>
    </w:lvl>
    <w:lvl w:ilvl="5" w:tplc="4616484A" w:tentative="1">
      <w:start w:val="1"/>
      <w:numFmt w:val="bullet"/>
      <w:lvlText w:val=""/>
      <w:lvlJc w:val="left"/>
      <w:pPr>
        <w:ind w:left="4320" w:hanging="360"/>
      </w:pPr>
      <w:rPr>
        <w:rFonts w:ascii="Wingdings" w:hAnsi="Wingdings" w:hint="default"/>
      </w:rPr>
    </w:lvl>
    <w:lvl w:ilvl="6" w:tplc="B64AB848" w:tentative="1">
      <w:start w:val="1"/>
      <w:numFmt w:val="bullet"/>
      <w:lvlText w:val=""/>
      <w:lvlJc w:val="left"/>
      <w:pPr>
        <w:ind w:left="5040" w:hanging="360"/>
      </w:pPr>
      <w:rPr>
        <w:rFonts w:ascii="Symbol" w:hAnsi="Symbol" w:hint="default"/>
      </w:rPr>
    </w:lvl>
    <w:lvl w:ilvl="7" w:tplc="27368924" w:tentative="1">
      <w:start w:val="1"/>
      <w:numFmt w:val="bullet"/>
      <w:lvlText w:val="o"/>
      <w:lvlJc w:val="left"/>
      <w:pPr>
        <w:ind w:left="5760" w:hanging="360"/>
      </w:pPr>
      <w:rPr>
        <w:rFonts w:ascii="Courier New" w:hAnsi="Courier New" w:cs="Courier New" w:hint="default"/>
      </w:rPr>
    </w:lvl>
    <w:lvl w:ilvl="8" w:tplc="A036CE02"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08502D9E">
      <w:start w:val="1"/>
      <w:numFmt w:val="bullet"/>
      <w:lvlText w:val=""/>
      <w:lvlJc w:val="left"/>
      <w:pPr>
        <w:tabs>
          <w:tab w:val="num" w:pos="360"/>
        </w:tabs>
        <w:ind w:left="360" w:hanging="360"/>
      </w:pPr>
      <w:rPr>
        <w:rFonts w:ascii="Symbol" w:hAnsi="Symbol" w:hint="default"/>
      </w:rPr>
    </w:lvl>
    <w:lvl w:ilvl="1" w:tplc="55F4D6DC" w:tentative="1">
      <w:start w:val="1"/>
      <w:numFmt w:val="bullet"/>
      <w:lvlText w:val="o"/>
      <w:lvlJc w:val="left"/>
      <w:pPr>
        <w:tabs>
          <w:tab w:val="num" w:pos="1080"/>
        </w:tabs>
        <w:ind w:left="1080" w:hanging="360"/>
      </w:pPr>
      <w:rPr>
        <w:rFonts w:ascii="Courier New" w:hAnsi="Courier New" w:cs="Courier New" w:hint="default"/>
      </w:rPr>
    </w:lvl>
    <w:lvl w:ilvl="2" w:tplc="730C2742" w:tentative="1">
      <w:start w:val="1"/>
      <w:numFmt w:val="bullet"/>
      <w:lvlText w:val=""/>
      <w:lvlJc w:val="left"/>
      <w:pPr>
        <w:tabs>
          <w:tab w:val="num" w:pos="1800"/>
        </w:tabs>
        <w:ind w:left="1800" w:hanging="360"/>
      </w:pPr>
      <w:rPr>
        <w:rFonts w:ascii="Wingdings" w:hAnsi="Wingdings" w:hint="default"/>
      </w:rPr>
    </w:lvl>
    <w:lvl w:ilvl="3" w:tplc="61EE3D52" w:tentative="1">
      <w:start w:val="1"/>
      <w:numFmt w:val="bullet"/>
      <w:lvlText w:val=""/>
      <w:lvlJc w:val="left"/>
      <w:pPr>
        <w:tabs>
          <w:tab w:val="num" w:pos="2520"/>
        </w:tabs>
        <w:ind w:left="2520" w:hanging="360"/>
      </w:pPr>
      <w:rPr>
        <w:rFonts w:ascii="Symbol" w:hAnsi="Symbol" w:hint="default"/>
      </w:rPr>
    </w:lvl>
    <w:lvl w:ilvl="4" w:tplc="02DAE1BA" w:tentative="1">
      <w:start w:val="1"/>
      <w:numFmt w:val="bullet"/>
      <w:lvlText w:val="o"/>
      <w:lvlJc w:val="left"/>
      <w:pPr>
        <w:tabs>
          <w:tab w:val="num" w:pos="3240"/>
        </w:tabs>
        <w:ind w:left="3240" w:hanging="360"/>
      </w:pPr>
      <w:rPr>
        <w:rFonts w:ascii="Courier New" w:hAnsi="Courier New" w:cs="Courier New" w:hint="default"/>
      </w:rPr>
    </w:lvl>
    <w:lvl w:ilvl="5" w:tplc="37BC964A" w:tentative="1">
      <w:start w:val="1"/>
      <w:numFmt w:val="bullet"/>
      <w:lvlText w:val=""/>
      <w:lvlJc w:val="left"/>
      <w:pPr>
        <w:tabs>
          <w:tab w:val="num" w:pos="3960"/>
        </w:tabs>
        <w:ind w:left="3960" w:hanging="360"/>
      </w:pPr>
      <w:rPr>
        <w:rFonts w:ascii="Wingdings" w:hAnsi="Wingdings" w:hint="default"/>
      </w:rPr>
    </w:lvl>
    <w:lvl w:ilvl="6" w:tplc="06A65D2A" w:tentative="1">
      <w:start w:val="1"/>
      <w:numFmt w:val="bullet"/>
      <w:lvlText w:val=""/>
      <w:lvlJc w:val="left"/>
      <w:pPr>
        <w:tabs>
          <w:tab w:val="num" w:pos="4680"/>
        </w:tabs>
        <w:ind w:left="4680" w:hanging="360"/>
      </w:pPr>
      <w:rPr>
        <w:rFonts w:ascii="Symbol" w:hAnsi="Symbol" w:hint="default"/>
      </w:rPr>
    </w:lvl>
    <w:lvl w:ilvl="7" w:tplc="976EC2C0" w:tentative="1">
      <w:start w:val="1"/>
      <w:numFmt w:val="bullet"/>
      <w:lvlText w:val="o"/>
      <w:lvlJc w:val="left"/>
      <w:pPr>
        <w:tabs>
          <w:tab w:val="num" w:pos="5400"/>
        </w:tabs>
        <w:ind w:left="5400" w:hanging="360"/>
      </w:pPr>
      <w:rPr>
        <w:rFonts w:ascii="Courier New" w:hAnsi="Courier New" w:cs="Courier New" w:hint="default"/>
      </w:rPr>
    </w:lvl>
    <w:lvl w:ilvl="8" w:tplc="F66E8764"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FACA9B22">
      <w:start w:val="1"/>
      <w:numFmt w:val="bullet"/>
      <w:lvlText w:val=""/>
      <w:lvlJc w:val="left"/>
      <w:pPr>
        <w:ind w:left="1080" w:hanging="360"/>
      </w:pPr>
      <w:rPr>
        <w:rFonts w:ascii="Symbol" w:hAnsi="Symbol" w:hint="default"/>
      </w:rPr>
    </w:lvl>
    <w:lvl w:ilvl="1" w:tplc="0C6840C6" w:tentative="1">
      <w:start w:val="1"/>
      <w:numFmt w:val="bullet"/>
      <w:lvlText w:val="o"/>
      <w:lvlJc w:val="left"/>
      <w:pPr>
        <w:ind w:left="1800" w:hanging="360"/>
      </w:pPr>
      <w:rPr>
        <w:rFonts w:ascii="Courier New" w:hAnsi="Courier New" w:cs="Courier New" w:hint="default"/>
      </w:rPr>
    </w:lvl>
    <w:lvl w:ilvl="2" w:tplc="45E49162" w:tentative="1">
      <w:start w:val="1"/>
      <w:numFmt w:val="bullet"/>
      <w:lvlText w:val=""/>
      <w:lvlJc w:val="left"/>
      <w:pPr>
        <w:ind w:left="2520" w:hanging="360"/>
      </w:pPr>
      <w:rPr>
        <w:rFonts w:ascii="Wingdings" w:hAnsi="Wingdings" w:hint="default"/>
      </w:rPr>
    </w:lvl>
    <w:lvl w:ilvl="3" w:tplc="F93E818C" w:tentative="1">
      <w:start w:val="1"/>
      <w:numFmt w:val="bullet"/>
      <w:lvlText w:val=""/>
      <w:lvlJc w:val="left"/>
      <w:pPr>
        <w:ind w:left="3240" w:hanging="360"/>
      </w:pPr>
      <w:rPr>
        <w:rFonts w:ascii="Symbol" w:hAnsi="Symbol" w:hint="default"/>
      </w:rPr>
    </w:lvl>
    <w:lvl w:ilvl="4" w:tplc="6FE64A30" w:tentative="1">
      <w:start w:val="1"/>
      <w:numFmt w:val="bullet"/>
      <w:lvlText w:val="o"/>
      <w:lvlJc w:val="left"/>
      <w:pPr>
        <w:ind w:left="3960" w:hanging="360"/>
      </w:pPr>
      <w:rPr>
        <w:rFonts w:ascii="Courier New" w:hAnsi="Courier New" w:cs="Courier New" w:hint="default"/>
      </w:rPr>
    </w:lvl>
    <w:lvl w:ilvl="5" w:tplc="A0545D32" w:tentative="1">
      <w:start w:val="1"/>
      <w:numFmt w:val="bullet"/>
      <w:lvlText w:val=""/>
      <w:lvlJc w:val="left"/>
      <w:pPr>
        <w:ind w:left="4680" w:hanging="360"/>
      </w:pPr>
      <w:rPr>
        <w:rFonts w:ascii="Wingdings" w:hAnsi="Wingdings" w:hint="default"/>
      </w:rPr>
    </w:lvl>
    <w:lvl w:ilvl="6" w:tplc="C9DA2D10" w:tentative="1">
      <w:start w:val="1"/>
      <w:numFmt w:val="bullet"/>
      <w:lvlText w:val=""/>
      <w:lvlJc w:val="left"/>
      <w:pPr>
        <w:ind w:left="5400" w:hanging="360"/>
      </w:pPr>
      <w:rPr>
        <w:rFonts w:ascii="Symbol" w:hAnsi="Symbol" w:hint="default"/>
      </w:rPr>
    </w:lvl>
    <w:lvl w:ilvl="7" w:tplc="3544CC36" w:tentative="1">
      <w:start w:val="1"/>
      <w:numFmt w:val="bullet"/>
      <w:lvlText w:val="o"/>
      <w:lvlJc w:val="left"/>
      <w:pPr>
        <w:ind w:left="6120" w:hanging="360"/>
      </w:pPr>
      <w:rPr>
        <w:rFonts w:ascii="Courier New" w:hAnsi="Courier New" w:cs="Courier New" w:hint="default"/>
      </w:rPr>
    </w:lvl>
    <w:lvl w:ilvl="8" w:tplc="CB2CF90C"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E514AB38">
      <w:start w:val="1"/>
      <w:numFmt w:val="bullet"/>
      <w:lvlText w:val=""/>
      <w:lvlJc w:val="left"/>
      <w:pPr>
        <w:ind w:left="720" w:hanging="360"/>
      </w:pPr>
      <w:rPr>
        <w:rFonts w:ascii="Symbol" w:hAnsi="Symbol" w:hint="default"/>
      </w:rPr>
    </w:lvl>
    <w:lvl w:ilvl="1" w:tplc="326A5B26">
      <w:start w:val="1"/>
      <w:numFmt w:val="bullet"/>
      <w:lvlText w:val="o"/>
      <w:lvlJc w:val="left"/>
      <w:pPr>
        <w:ind w:left="1440" w:hanging="360"/>
      </w:pPr>
      <w:rPr>
        <w:rFonts w:ascii="Courier New" w:hAnsi="Courier New" w:cs="Times New Roman" w:hint="default"/>
      </w:rPr>
    </w:lvl>
    <w:lvl w:ilvl="2" w:tplc="1D36122A">
      <w:start w:val="1"/>
      <w:numFmt w:val="bullet"/>
      <w:lvlText w:val=""/>
      <w:lvlJc w:val="left"/>
      <w:pPr>
        <w:ind w:left="2160" w:hanging="360"/>
      </w:pPr>
      <w:rPr>
        <w:rFonts w:ascii="Wingdings" w:hAnsi="Wingdings" w:hint="default"/>
      </w:rPr>
    </w:lvl>
    <w:lvl w:ilvl="3" w:tplc="1C48401C">
      <w:start w:val="1"/>
      <w:numFmt w:val="bullet"/>
      <w:lvlText w:val=""/>
      <w:lvlJc w:val="left"/>
      <w:pPr>
        <w:ind w:left="2880" w:hanging="360"/>
      </w:pPr>
      <w:rPr>
        <w:rFonts w:ascii="Symbol" w:hAnsi="Symbol" w:hint="default"/>
      </w:rPr>
    </w:lvl>
    <w:lvl w:ilvl="4" w:tplc="EE1C3778">
      <w:start w:val="1"/>
      <w:numFmt w:val="bullet"/>
      <w:lvlText w:val="o"/>
      <w:lvlJc w:val="left"/>
      <w:pPr>
        <w:ind w:left="3600" w:hanging="360"/>
      </w:pPr>
      <w:rPr>
        <w:rFonts w:ascii="Courier New" w:hAnsi="Courier New" w:cs="Times New Roman" w:hint="default"/>
      </w:rPr>
    </w:lvl>
    <w:lvl w:ilvl="5" w:tplc="745C6B6A">
      <w:start w:val="1"/>
      <w:numFmt w:val="bullet"/>
      <w:lvlText w:val=""/>
      <w:lvlJc w:val="left"/>
      <w:pPr>
        <w:ind w:left="4320" w:hanging="360"/>
      </w:pPr>
      <w:rPr>
        <w:rFonts w:ascii="Wingdings" w:hAnsi="Wingdings" w:hint="default"/>
      </w:rPr>
    </w:lvl>
    <w:lvl w:ilvl="6" w:tplc="52F25CE4">
      <w:start w:val="1"/>
      <w:numFmt w:val="bullet"/>
      <w:lvlText w:val=""/>
      <w:lvlJc w:val="left"/>
      <w:pPr>
        <w:ind w:left="5040" w:hanging="360"/>
      </w:pPr>
      <w:rPr>
        <w:rFonts w:ascii="Symbol" w:hAnsi="Symbol" w:hint="default"/>
      </w:rPr>
    </w:lvl>
    <w:lvl w:ilvl="7" w:tplc="15327EEC">
      <w:start w:val="1"/>
      <w:numFmt w:val="bullet"/>
      <w:lvlText w:val="o"/>
      <w:lvlJc w:val="left"/>
      <w:pPr>
        <w:ind w:left="5760" w:hanging="360"/>
      </w:pPr>
      <w:rPr>
        <w:rFonts w:ascii="Courier New" w:hAnsi="Courier New" w:cs="Times New Roman" w:hint="default"/>
      </w:rPr>
    </w:lvl>
    <w:lvl w:ilvl="8" w:tplc="CA88420E">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B4A37"/>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6535F"/>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26BB4"/>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D6762"/>
    <w:rsid w:val="00BE506E"/>
    <w:rsid w:val="00BF18CD"/>
    <w:rsid w:val="00C00493"/>
    <w:rsid w:val="00C0092D"/>
    <w:rsid w:val="00C01E0A"/>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8071B"/>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07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es-ES"/>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uiPriority w:val="9"/>
    <w:qFormat/>
    <w:rsid w:val="0048665C"/>
    <w:pPr>
      <w:keepNext/>
      <w:numPr>
        <w:ilvl w:val="1"/>
        <w:numId w:val="1"/>
      </w:numPr>
      <w:spacing w:after="240"/>
      <w:jc w:val="both"/>
      <w:outlineLvl w:val="1"/>
    </w:pPr>
    <w:rPr>
      <w:b/>
      <w:szCs w:val="20"/>
    </w:rPr>
  </w:style>
  <w:style w:type="paragraph" w:styleId="Heading3">
    <w:name w:val="heading 3"/>
    <w:basedOn w:val="Normal"/>
    <w:next w:val="Normal"/>
    <w:uiPriority w:val="9"/>
    <w:qFormat/>
    <w:rsid w:val="0048665C"/>
    <w:pPr>
      <w:keepNext/>
      <w:numPr>
        <w:ilvl w:val="2"/>
        <w:numId w:val="1"/>
      </w:numPr>
      <w:spacing w:after="240"/>
      <w:jc w:val="both"/>
      <w:outlineLvl w:val="2"/>
    </w:pPr>
    <w:rPr>
      <w:i/>
      <w:szCs w:val="20"/>
    </w:rPr>
  </w:style>
  <w:style w:type="paragraph" w:styleId="Heading4">
    <w:name w:val="heading 4"/>
    <w:basedOn w:val="Normal"/>
    <w:next w:val="Normal"/>
    <w:uiPriority w:val="9"/>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iPriority w:val="99"/>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uiPriority w:val="9"/>
    <w:rsid w:val="00B07C5A"/>
    <w:rPr>
      <w:b/>
      <w:smallCaps/>
      <w:sz w:val="24"/>
      <w:lang w:eastAsia="es-ES"/>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es-ES"/>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uiPriority w:val="9"/>
    <w:qFormat/>
    <w:rsid w:val="0048665C"/>
    <w:pPr>
      <w:keepNext/>
      <w:numPr>
        <w:numId w:val="1"/>
      </w:numPr>
      <w:spacing w:before="240" w:after="240"/>
      <w:jc w:val="both"/>
      <w:outlineLvl w:val="0"/>
    </w:pPr>
    <w:rPr>
      <w:b/>
      <w:smallCaps/>
      <w:szCs w:val="20"/>
    </w:rPr>
  </w:style>
  <w:style w:type="paragraph" w:styleId="Heading2">
    <w:name w:val="heading 2"/>
    <w:basedOn w:val="Normal"/>
    <w:next w:val="Normal"/>
    <w:uiPriority w:val="9"/>
    <w:qFormat/>
    <w:rsid w:val="0048665C"/>
    <w:pPr>
      <w:keepNext/>
      <w:numPr>
        <w:ilvl w:val="1"/>
        <w:numId w:val="1"/>
      </w:numPr>
      <w:spacing w:after="240"/>
      <w:jc w:val="both"/>
      <w:outlineLvl w:val="1"/>
    </w:pPr>
    <w:rPr>
      <w:b/>
      <w:szCs w:val="20"/>
    </w:rPr>
  </w:style>
  <w:style w:type="paragraph" w:styleId="Heading3">
    <w:name w:val="heading 3"/>
    <w:basedOn w:val="Normal"/>
    <w:next w:val="Normal"/>
    <w:uiPriority w:val="9"/>
    <w:qFormat/>
    <w:rsid w:val="0048665C"/>
    <w:pPr>
      <w:keepNext/>
      <w:numPr>
        <w:ilvl w:val="2"/>
        <w:numId w:val="1"/>
      </w:numPr>
      <w:spacing w:after="240"/>
      <w:jc w:val="both"/>
      <w:outlineLvl w:val="2"/>
    </w:pPr>
    <w:rPr>
      <w:i/>
      <w:szCs w:val="20"/>
    </w:rPr>
  </w:style>
  <w:style w:type="paragraph" w:styleId="Heading4">
    <w:name w:val="heading 4"/>
    <w:basedOn w:val="Normal"/>
    <w:next w:val="Normal"/>
    <w:uiPriority w:val="9"/>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iPriority w:val="99"/>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uiPriority w:val="9"/>
    <w:rsid w:val="00B07C5A"/>
    <w:rPr>
      <w:b/>
      <w:smallCaps/>
      <w:sz w:val="24"/>
      <w:lang w:eastAsia="es-ES"/>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4630D-85EC-48A4-97E9-48DEA2A1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1366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6</cp:revision>
  <cp:lastPrinted>2015-10-16T08:20:00Z</cp:lastPrinted>
  <dcterms:created xsi:type="dcterms:W3CDTF">2018-09-18T10:12:00Z</dcterms:created>
  <dcterms:modified xsi:type="dcterms:W3CDTF">2018-09-27T15:31:00Z</dcterms:modified>
</cp:coreProperties>
</file>